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125C1C">
      <w:pPr>
        <w:pStyle w:val="5"/>
        <w:ind w:left="5284"/>
        <w:rPr>
          <w:rFonts w:ascii="Times New Roman"/>
          <w:sz w:val="20"/>
        </w:rPr>
      </w:pPr>
      <w:r>
        <w:rPr>
          <w:rFonts w:ascii="Times New Roman"/>
          <w:sz w:val="20"/>
          <w:lang w:eastAsia="zh-CN" w:bidi="ar-SA"/>
        </w:rPr>
        <w:drawing>
          <wp:inline distT="0" distB="0" distL="0" distR="0">
            <wp:extent cx="1906270" cy="767715"/>
            <wp:effectExtent l="0" t="0" r="17780" b="13335"/>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13" cstate="print"/>
                    <a:stretch>
                      <a:fillRect/>
                    </a:stretch>
                  </pic:blipFill>
                  <pic:spPr>
                    <a:xfrm>
                      <a:off x="0" y="0"/>
                      <a:ext cx="1906578" cy="768096"/>
                    </a:xfrm>
                    <a:prstGeom prst="rect">
                      <a:avLst/>
                    </a:prstGeom>
                  </pic:spPr>
                </pic:pic>
              </a:graphicData>
            </a:graphic>
          </wp:inline>
        </w:drawing>
      </w:r>
    </w:p>
    <w:p w14:paraId="73A19BDC">
      <w:pPr>
        <w:pStyle w:val="5"/>
        <w:spacing w:before="9"/>
        <w:rPr>
          <w:rFonts w:ascii="Times New Roman"/>
          <w:sz w:val="9"/>
        </w:rPr>
      </w:pPr>
    </w:p>
    <w:p w14:paraId="4000F07C">
      <w:pPr>
        <w:spacing w:line="872" w:lineRule="exact"/>
        <w:ind w:right="494"/>
        <w:jc w:val="distribute"/>
        <w:rPr>
          <w:rFonts w:ascii="方正小标宋简体" w:eastAsia="方正小标宋简体"/>
          <w:sz w:val="52"/>
          <w:lang w:eastAsia="zh-CN"/>
        </w:rPr>
      </w:pPr>
      <w:r>
        <w:rPr>
          <w:rFonts w:hint="eastAsia" w:ascii="方正小标宋简体" w:eastAsia="方正小标宋简体"/>
          <w:w w:val="120"/>
          <w:sz w:val="52"/>
          <w:lang w:eastAsia="zh-CN"/>
        </w:rPr>
        <w:t>安徽省地方计量技术规范</w:t>
      </w:r>
    </w:p>
    <w:p w14:paraId="20E17491">
      <w:pPr>
        <w:pStyle w:val="4"/>
        <w:rPr>
          <w:lang w:eastAsia="zh-CN"/>
        </w:rPr>
      </w:pPr>
      <w:r>
        <w:rPr>
          <w:lang w:eastAsia="zh-CN" w:bidi="ar-SA"/>
        </w:rPr>
        <w:pict>
          <v:line id="直线 152" o:spid="_x0000_s1026" o:spt="20" style="position:absolute;left:0pt;margin-left:66.7pt;margin-top:30.4pt;height:0pt;width:452.8pt;mso-position-horizontal-relative:page;mso-wrap-distance-bottom:0pt;mso-wrap-distance-top:0pt;z-index:-251655168;mso-width-relative:page;mso-height-relative:page;" coordsize="21600,21600" o:gfxdata="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4VacW1gAA&#10;AAoBAAAPAAAAAAAAAAEAIAAAACIAAABkcnMvZG93bnJldi54bWxQSwECFAAUAAAACACHTuJARrME&#10;eecBAADhAwAADgAAAAAAAAABACAAAAAlAQAAZHJzL2Uyb0RvYy54bWxQSwUGAAAAAAYABgBZAQAA&#10;fgUAAAAA&#10;">
            <v:path arrowok="t"/>
            <v:fill focussize="0,0"/>
            <v:stroke weight="2.25pt"/>
            <v:imagedata o:title=""/>
            <o:lock v:ext="edit"/>
            <w10:wrap type="topAndBottom"/>
          </v:line>
        </w:pict>
      </w:r>
      <w:r>
        <w:rPr>
          <w:rFonts w:hint="eastAsia"/>
          <w:lang w:eastAsia="zh-CN"/>
        </w:rPr>
        <w:t>JJF（皖）##—202</w:t>
      </w:r>
      <w:r>
        <w:rPr>
          <w:rFonts w:hint="eastAsia"/>
          <w:lang w:val="en-US" w:eastAsia="zh-CN"/>
        </w:rPr>
        <w:t>5</w:t>
      </w:r>
    </w:p>
    <w:p w14:paraId="6D0A32AF">
      <w:pPr>
        <w:pStyle w:val="5"/>
        <w:rPr>
          <w:rFonts w:ascii="Times New Roman"/>
          <w:sz w:val="30"/>
          <w:lang w:eastAsia="zh-CN"/>
        </w:rPr>
      </w:pPr>
    </w:p>
    <w:p w14:paraId="7F6744E8">
      <w:pPr>
        <w:pStyle w:val="5"/>
        <w:rPr>
          <w:rFonts w:ascii="Times New Roman"/>
          <w:sz w:val="30"/>
          <w:lang w:eastAsia="zh-CN"/>
        </w:rPr>
      </w:pPr>
    </w:p>
    <w:p w14:paraId="493709B6">
      <w:pPr>
        <w:pStyle w:val="5"/>
        <w:rPr>
          <w:rFonts w:ascii="Times New Roman"/>
          <w:sz w:val="30"/>
          <w:lang w:eastAsia="zh-CN"/>
        </w:rPr>
      </w:pPr>
    </w:p>
    <w:p w14:paraId="6F93BC27">
      <w:pPr>
        <w:pStyle w:val="5"/>
        <w:rPr>
          <w:rFonts w:ascii="Times New Roman"/>
          <w:sz w:val="30"/>
          <w:lang w:eastAsia="zh-CN"/>
        </w:rPr>
      </w:pPr>
    </w:p>
    <w:p w14:paraId="224A5A5C">
      <w:pPr>
        <w:pStyle w:val="5"/>
        <w:rPr>
          <w:rFonts w:ascii="Times New Roman"/>
          <w:sz w:val="30"/>
          <w:lang w:eastAsia="zh-CN"/>
        </w:rPr>
      </w:pPr>
    </w:p>
    <w:p w14:paraId="5F5BCE6B">
      <w:pPr>
        <w:ind w:right="503"/>
        <w:jc w:val="center"/>
        <w:rPr>
          <w:rFonts w:ascii="黑体" w:eastAsia="黑体"/>
          <w:sz w:val="52"/>
          <w:lang w:eastAsia="zh-CN"/>
        </w:rPr>
      </w:pPr>
      <w:r>
        <w:rPr>
          <w:rFonts w:hint="eastAsia" w:ascii="黑体" w:eastAsia="黑体"/>
          <w:sz w:val="52"/>
          <w:lang w:eastAsia="zh-CN"/>
        </w:rPr>
        <w:t>重点排放单位碳排放计量器具配备</w:t>
      </w:r>
    </w:p>
    <w:p w14:paraId="0AB34539">
      <w:pPr>
        <w:ind w:right="503"/>
        <w:jc w:val="center"/>
        <w:rPr>
          <w:rFonts w:ascii="黑体" w:eastAsia="黑体"/>
          <w:sz w:val="52"/>
          <w:lang w:eastAsia="zh-CN"/>
        </w:rPr>
      </w:pPr>
      <w:r>
        <w:rPr>
          <w:rFonts w:hint="eastAsia" w:ascii="黑体" w:eastAsia="黑体"/>
          <w:sz w:val="52"/>
          <w:lang w:eastAsia="zh-CN"/>
        </w:rPr>
        <w:t>及管理技术规范</w:t>
      </w:r>
    </w:p>
    <w:p w14:paraId="12F9E1A0">
      <w:pPr>
        <w:spacing w:before="310"/>
        <w:jc w:val="center"/>
        <w:rPr>
          <w:rFonts w:ascii="黑体" w:hAnsi="黑体" w:eastAsia="黑体" w:cs="黑体"/>
          <w:b/>
          <w:sz w:val="28"/>
        </w:rPr>
      </w:pPr>
      <w:r>
        <w:rPr>
          <w:rFonts w:hint="eastAsia" w:ascii="黑体" w:hAnsi="黑体" w:eastAsia="黑体" w:cs="黑体"/>
          <w:b/>
          <w:sz w:val="28"/>
        </w:rPr>
        <w:t>Technical Specification for Equipping and Managing of Carbon</w:t>
      </w:r>
      <w:r>
        <w:rPr>
          <w:rFonts w:hint="eastAsia" w:ascii="黑体" w:hAnsi="黑体" w:eastAsia="黑体" w:cs="黑体"/>
          <w:b/>
          <w:sz w:val="28"/>
          <w:lang w:eastAsia="zh-CN"/>
        </w:rPr>
        <w:t xml:space="preserve"> </w:t>
      </w:r>
      <w:r>
        <w:rPr>
          <w:rFonts w:hint="eastAsia" w:ascii="黑体" w:hAnsi="黑体" w:eastAsia="黑体" w:cs="黑体"/>
          <w:b/>
          <w:sz w:val="28"/>
        </w:rPr>
        <w:t xml:space="preserve">Emission </w:t>
      </w:r>
    </w:p>
    <w:p w14:paraId="7A68A574">
      <w:pPr>
        <w:spacing w:before="310"/>
        <w:jc w:val="center"/>
        <w:rPr>
          <w:rFonts w:ascii="黑体" w:hAnsi="黑体" w:eastAsia="黑体" w:cs="黑体"/>
          <w:b/>
          <w:sz w:val="28"/>
          <w:lang w:eastAsia="zh-CN"/>
        </w:rPr>
      </w:pPr>
      <w:r>
        <w:rPr>
          <w:rFonts w:hint="eastAsia" w:ascii="黑体" w:hAnsi="黑体" w:eastAsia="黑体" w:cs="黑体"/>
          <w:b/>
          <w:sz w:val="28"/>
        </w:rPr>
        <w:t>Measuring Instrument in Key Organization</w:t>
      </w:r>
      <w:r>
        <w:rPr>
          <w:rFonts w:hint="eastAsia" w:ascii="黑体" w:hAnsi="黑体" w:eastAsia="黑体" w:cs="黑体"/>
          <w:b/>
          <w:sz w:val="28"/>
          <w:lang w:eastAsia="zh-CN"/>
        </w:rPr>
        <w:t xml:space="preserve"> of </w:t>
      </w:r>
      <w:r>
        <w:rPr>
          <w:rFonts w:hint="eastAsia" w:ascii="黑体" w:hAnsi="黑体" w:eastAsia="黑体" w:cs="黑体"/>
          <w:b/>
          <w:sz w:val="28"/>
        </w:rPr>
        <w:t>Carbon</w:t>
      </w:r>
      <w:r>
        <w:rPr>
          <w:rFonts w:hint="eastAsia" w:ascii="黑体" w:hAnsi="黑体" w:eastAsia="黑体" w:cs="黑体"/>
          <w:b/>
          <w:sz w:val="28"/>
          <w:lang w:eastAsia="zh-CN"/>
        </w:rPr>
        <w:t xml:space="preserve"> </w:t>
      </w:r>
      <w:r>
        <w:rPr>
          <w:rFonts w:hint="eastAsia" w:ascii="黑体" w:hAnsi="黑体" w:eastAsia="黑体" w:cs="黑体"/>
          <w:b/>
          <w:sz w:val="28"/>
        </w:rPr>
        <w:t>Emission</w:t>
      </w:r>
      <w:r>
        <w:rPr>
          <w:rFonts w:hint="eastAsia" w:ascii="黑体" w:hAnsi="黑体" w:eastAsia="黑体" w:cs="黑体"/>
          <w:b/>
          <w:sz w:val="28"/>
          <w:lang w:eastAsia="zh-CN"/>
        </w:rPr>
        <w:t>s</w:t>
      </w:r>
    </w:p>
    <w:p w14:paraId="4F8427BC">
      <w:pPr>
        <w:pStyle w:val="5"/>
        <w:rPr>
          <w:rFonts w:ascii="Times New Roman"/>
          <w:b/>
          <w:sz w:val="30"/>
        </w:rPr>
      </w:pPr>
    </w:p>
    <w:p w14:paraId="3D69137D">
      <w:pPr>
        <w:pStyle w:val="5"/>
        <w:jc w:val="center"/>
        <w:rPr>
          <w:rFonts w:ascii="Times New Roman"/>
          <w:b/>
          <w:sz w:val="30"/>
        </w:rPr>
      </w:pPr>
      <w:r>
        <w:rPr>
          <w:rFonts w:ascii="Times New Roman"/>
          <w:b/>
          <w:sz w:val="30"/>
        </w:rPr>
        <w:t>（</w:t>
      </w:r>
      <w:r>
        <w:rPr>
          <w:rFonts w:hint="eastAsia" w:ascii="Times New Roman"/>
          <w:b/>
          <w:sz w:val="30"/>
          <w:lang w:eastAsia="zh-CN"/>
        </w:rPr>
        <w:t>报批</w:t>
      </w:r>
      <w:r>
        <w:rPr>
          <w:rFonts w:ascii="Times New Roman"/>
          <w:b/>
          <w:sz w:val="30"/>
        </w:rPr>
        <w:t>稿）</w:t>
      </w:r>
    </w:p>
    <w:p w14:paraId="76EB1538">
      <w:pPr>
        <w:pStyle w:val="5"/>
        <w:rPr>
          <w:rFonts w:ascii="Times New Roman"/>
          <w:b/>
          <w:sz w:val="30"/>
        </w:rPr>
      </w:pPr>
    </w:p>
    <w:p w14:paraId="04995D9B">
      <w:pPr>
        <w:pStyle w:val="5"/>
        <w:rPr>
          <w:rFonts w:ascii="Times New Roman"/>
          <w:b/>
          <w:sz w:val="30"/>
        </w:rPr>
      </w:pPr>
    </w:p>
    <w:p w14:paraId="6443F140">
      <w:pPr>
        <w:pStyle w:val="5"/>
        <w:rPr>
          <w:rFonts w:ascii="Times New Roman"/>
          <w:b/>
          <w:sz w:val="30"/>
        </w:rPr>
      </w:pPr>
    </w:p>
    <w:p w14:paraId="0AB765B3">
      <w:pPr>
        <w:pStyle w:val="5"/>
        <w:rPr>
          <w:rFonts w:ascii="Times New Roman"/>
          <w:b/>
          <w:sz w:val="30"/>
        </w:rPr>
      </w:pPr>
    </w:p>
    <w:p w14:paraId="6CE69CD0">
      <w:pPr>
        <w:pStyle w:val="5"/>
        <w:rPr>
          <w:rFonts w:ascii="Times New Roman"/>
          <w:b/>
          <w:sz w:val="30"/>
        </w:rPr>
      </w:pPr>
    </w:p>
    <w:p w14:paraId="5C832EEE">
      <w:pPr>
        <w:pStyle w:val="5"/>
        <w:rPr>
          <w:rFonts w:ascii="Times New Roman"/>
          <w:b/>
          <w:sz w:val="30"/>
        </w:rPr>
      </w:pPr>
    </w:p>
    <w:p w14:paraId="3990A687">
      <w:pPr>
        <w:pStyle w:val="5"/>
        <w:rPr>
          <w:rFonts w:ascii="Times New Roman"/>
          <w:b/>
          <w:sz w:val="30"/>
        </w:rPr>
      </w:pPr>
    </w:p>
    <w:p w14:paraId="003CA506">
      <w:pPr>
        <w:pStyle w:val="4"/>
        <w:ind w:left="0" w:leftChars="0" w:firstLine="560" w:firstLineChars="200"/>
        <w:jc w:val="both"/>
        <w:rPr>
          <w:lang w:eastAsia="zh-CN"/>
        </w:rPr>
      </w:pPr>
      <w:r>
        <w:rPr>
          <w:rFonts w:hint="eastAsia"/>
          <w:lang w:eastAsia="zh-CN"/>
        </w:rPr>
        <w:t>202</w:t>
      </w:r>
      <w:r>
        <w:rPr>
          <w:rFonts w:hint="eastAsia"/>
          <w:lang w:val="en-US" w:eastAsia="zh-CN"/>
        </w:rPr>
        <w:t>5</w:t>
      </w:r>
      <w:r>
        <w:rPr>
          <w:rFonts w:hint="eastAsia"/>
          <w:lang w:eastAsia="zh-CN"/>
        </w:rPr>
        <w:t>-03-01</w:t>
      </w:r>
      <w:r>
        <w:rPr>
          <w:rFonts w:hint="eastAsia"/>
          <w:spacing w:val="-2"/>
          <w:lang w:eastAsia="zh-CN"/>
        </w:rPr>
        <w:t xml:space="preserve"> </w:t>
      </w:r>
      <w:r>
        <w:rPr>
          <w:rFonts w:hint="eastAsia"/>
          <w:lang w:eastAsia="zh-CN"/>
        </w:rPr>
        <w:t>发布</w:t>
      </w:r>
      <w:r>
        <w:rPr>
          <w:rFonts w:hint="eastAsia"/>
          <w:lang w:val="en-US" w:eastAsia="zh-CN"/>
        </w:rPr>
        <w:t xml:space="preserve">                     </w:t>
      </w:r>
      <w:r>
        <w:rPr>
          <w:rFonts w:hint="eastAsia"/>
          <w:lang w:eastAsia="zh-CN"/>
        </w:rPr>
        <w:tab/>
      </w:r>
      <w:r>
        <w:rPr>
          <w:rFonts w:hint="eastAsia"/>
          <w:lang w:eastAsia="zh-CN"/>
        </w:rPr>
        <w:t>202</w:t>
      </w:r>
      <w:r>
        <w:rPr>
          <w:rFonts w:hint="eastAsia"/>
          <w:lang w:val="en-US" w:eastAsia="zh-CN"/>
        </w:rPr>
        <w:t>5</w:t>
      </w:r>
      <w:r>
        <w:rPr>
          <w:rFonts w:hint="eastAsia"/>
          <w:lang w:eastAsia="zh-CN"/>
        </w:rPr>
        <w:t>-06-01</w:t>
      </w:r>
      <w:r>
        <w:rPr>
          <w:rFonts w:hint="eastAsia"/>
          <w:spacing w:val="-2"/>
          <w:lang w:eastAsia="zh-CN"/>
        </w:rPr>
        <w:t xml:space="preserve"> </w:t>
      </w:r>
      <w:r>
        <w:rPr>
          <w:rFonts w:hint="eastAsia"/>
          <w:lang w:eastAsia="zh-CN"/>
        </w:rPr>
        <w:t>实施</w:t>
      </w:r>
    </w:p>
    <w:p w14:paraId="4F19BDE2">
      <w:pPr>
        <w:pStyle w:val="5"/>
        <w:spacing w:before="5"/>
        <w:rPr>
          <w:rFonts w:ascii="Times New Roman"/>
          <w:b/>
        </w:rPr>
      </w:pPr>
      <w:r>
        <w:rPr>
          <w:lang w:eastAsia="zh-CN" w:bidi="ar-SA"/>
        </w:rPr>
        <w:pict>
          <v:line id="直线 151" o:spid="_x0000_s2056" o:spt="20" style="position:absolute;left:0pt;margin-left:68.25pt;margin-top:25.7pt;height:0pt;width:427.3pt;mso-position-horizontal-relative:page;mso-wrap-distance-bottom:0pt;mso-wrap-distance-top:0pt;z-index:-251645952;mso-width-relative:page;mso-height-relative:page;" coordsize="21600,21600" o:gfxdata="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8gSma1wAA&#10;AAoBAAAPAAAAAAAAAAEAIAAAACIAAABkcnMvZG93bnJldi54bWxQSwECFAAUAAAACACHTuJAw75M&#10;K+YBAADhAwAADgAAAAAAAAABACAAAAAmAQAAZHJzL2Uyb0RvYy54bWxQSwUGAAAAAAYABgBZAQAA&#10;fgUAAAAA&#10;">
            <v:path arrowok="t"/>
            <v:fill focussize="0,0"/>
            <v:stroke weight="2pt"/>
            <v:imagedata o:title=""/>
            <o:lock v:ext="edit"/>
            <w10:wrap type="topAndBottom"/>
          </v:line>
        </w:pict>
      </w:r>
    </w:p>
    <w:p w14:paraId="01DAD637">
      <w:pPr>
        <w:tabs>
          <w:tab w:val="left" w:pos="722"/>
          <w:tab w:val="left" w:pos="1444"/>
          <w:tab w:val="left" w:pos="2167"/>
          <w:tab w:val="left" w:pos="2891"/>
          <w:tab w:val="left" w:pos="3614"/>
          <w:tab w:val="left" w:pos="4339"/>
          <w:tab w:val="left" w:pos="5061"/>
          <w:tab w:val="left" w:pos="5786"/>
          <w:tab w:val="left" w:pos="6508"/>
          <w:tab w:val="left" w:pos="7569"/>
        </w:tabs>
        <w:spacing w:before="36"/>
        <w:ind w:right="498"/>
        <w:jc w:val="center"/>
        <w:rPr>
          <w:rFonts w:ascii="黑体" w:eastAsia="黑体"/>
          <w:sz w:val="28"/>
          <w:lang w:eastAsia="zh-CN"/>
        </w:rPr>
        <w:sectPr>
          <w:pgSz w:w="11910" w:h="16840"/>
          <w:pgMar w:top="1020" w:right="920" w:bottom="280" w:left="1140" w:header="720" w:footer="720" w:gutter="0"/>
          <w:cols w:space="720" w:num="1"/>
        </w:sectPr>
      </w:pPr>
      <w:r>
        <w:rPr>
          <w:rFonts w:hint="eastAsia" w:ascii="方正小标宋简体" w:eastAsia="方正小标宋简体"/>
          <w:w w:val="110"/>
          <w:sz w:val="44"/>
          <w:lang w:eastAsia="zh-CN"/>
        </w:rPr>
        <w:t>安</w:t>
      </w:r>
      <w:r>
        <w:rPr>
          <w:rFonts w:hint="eastAsia" w:ascii="方正小标宋简体" w:eastAsia="方正小标宋简体"/>
          <w:w w:val="110"/>
          <w:sz w:val="44"/>
          <w:lang w:eastAsia="zh-CN"/>
        </w:rPr>
        <w:tab/>
      </w:r>
      <w:r>
        <w:rPr>
          <w:rFonts w:hint="eastAsia" w:ascii="方正小标宋简体" w:eastAsia="方正小标宋简体"/>
          <w:w w:val="110"/>
          <w:sz w:val="44"/>
          <w:lang w:eastAsia="zh-CN"/>
        </w:rPr>
        <w:t>徽</w:t>
      </w:r>
      <w:r>
        <w:rPr>
          <w:rFonts w:hint="eastAsia" w:ascii="方正小标宋简体" w:eastAsia="方正小标宋简体"/>
          <w:w w:val="110"/>
          <w:sz w:val="44"/>
          <w:lang w:eastAsia="zh-CN"/>
        </w:rPr>
        <w:tab/>
      </w:r>
      <w:r>
        <w:rPr>
          <w:rFonts w:hint="eastAsia" w:ascii="方正小标宋简体" w:eastAsia="方正小标宋简体"/>
          <w:w w:val="110"/>
          <w:sz w:val="44"/>
          <w:lang w:eastAsia="zh-CN"/>
        </w:rPr>
        <w:t>省</w:t>
      </w:r>
      <w:r>
        <w:rPr>
          <w:rFonts w:hint="eastAsia" w:ascii="方正小标宋简体" w:eastAsia="方正小标宋简体"/>
          <w:w w:val="110"/>
          <w:sz w:val="44"/>
          <w:lang w:eastAsia="zh-CN"/>
        </w:rPr>
        <w:tab/>
      </w:r>
      <w:r>
        <w:rPr>
          <w:rFonts w:hint="eastAsia" w:ascii="方正小标宋简体" w:eastAsia="方正小标宋简体"/>
          <w:w w:val="110"/>
          <w:sz w:val="44"/>
          <w:lang w:eastAsia="zh-CN"/>
        </w:rPr>
        <w:t>市</w:t>
      </w:r>
      <w:r>
        <w:rPr>
          <w:rFonts w:hint="eastAsia" w:ascii="方正小标宋简体" w:eastAsia="方正小标宋简体"/>
          <w:w w:val="110"/>
          <w:sz w:val="44"/>
          <w:lang w:eastAsia="zh-CN"/>
        </w:rPr>
        <w:tab/>
      </w:r>
      <w:r>
        <w:rPr>
          <w:rFonts w:hint="eastAsia" w:ascii="方正小标宋简体" w:eastAsia="方正小标宋简体"/>
          <w:w w:val="110"/>
          <w:sz w:val="44"/>
          <w:lang w:eastAsia="zh-CN"/>
        </w:rPr>
        <w:t>场</w:t>
      </w:r>
      <w:r>
        <w:rPr>
          <w:rFonts w:hint="eastAsia" w:ascii="方正小标宋简体" w:eastAsia="方正小标宋简体"/>
          <w:w w:val="110"/>
          <w:sz w:val="44"/>
          <w:lang w:eastAsia="zh-CN"/>
        </w:rPr>
        <w:tab/>
      </w:r>
      <w:r>
        <w:rPr>
          <w:rFonts w:hint="eastAsia" w:ascii="方正小标宋简体" w:eastAsia="方正小标宋简体"/>
          <w:w w:val="110"/>
          <w:sz w:val="44"/>
          <w:lang w:eastAsia="zh-CN"/>
        </w:rPr>
        <w:t>监</w:t>
      </w:r>
      <w:r>
        <w:rPr>
          <w:rFonts w:hint="eastAsia" w:ascii="方正小标宋简体" w:eastAsia="方正小标宋简体"/>
          <w:w w:val="110"/>
          <w:sz w:val="44"/>
          <w:lang w:eastAsia="zh-CN"/>
        </w:rPr>
        <w:tab/>
      </w:r>
      <w:r>
        <w:rPr>
          <w:rFonts w:hint="eastAsia" w:ascii="方正小标宋简体" w:eastAsia="方正小标宋简体"/>
          <w:w w:val="110"/>
          <w:sz w:val="44"/>
          <w:lang w:eastAsia="zh-CN"/>
        </w:rPr>
        <w:t>督</w:t>
      </w:r>
      <w:r>
        <w:rPr>
          <w:rFonts w:hint="eastAsia" w:ascii="方正小标宋简体" w:eastAsia="方正小标宋简体"/>
          <w:w w:val="110"/>
          <w:sz w:val="44"/>
          <w:lang w:eastAsia="zh-CN"/>
        </w:rPr>
        <w:tab/>
      </w:r>
      <w:r>
        <w:rPr>
          <w:rFonts w:hint="eastAsia" w:ascii="方正小标宋简体" w:eastAsia="方正小标宋简体"/>
          <w:w w:val="110"/>
          <w:sz w:val="44"/>
          <w:lang w:eastAsia="zh-CN"/>
        </w:rPr>
        <w:t>管</w:t>
      </w:r>
      <w:r>
        <w:rPr>
          <w:rFonts w:hint="eastAsia" w:ascii="方正小标宋简体" w:eastAsia="方正小标宋简体"/>
          <w:w w:val="110"/>
          <w:sz w:val="44"/>
          <w:lang w:eastAsia="zh-CN"/>
        </w:rPr>
        <w:tab/>
      </w:r>
      <w:r>
        <w:rPr>
          <w:rFonts w:hint="eastAsia" w:ascii="方正小标宋简体" w:eastAsia="方正小标宋简体"/>
          <w:w w:val="110"/>
          <w:sz w:val="44"/>
          <w:lang w:eastAsia="zh-CN"/>
        </w:rPr>
        <w:t>理</w:t>
      </w:r>
      <w:r>
        <w:rPr>
          <w:rFonts w:hint="eastAsia" w:ascii="方正小标宋简体" w:eastAsia="方正小标宋简体"/>
          <w:w w:val="110"/>
          <w:sz w:val="44"/>
          <w:lang w:eastAsia="zh-CN"/>
        </w:rPr>
        <w:tab/>
      </w:r>
      <w:r>
        <w:rPr>
          <w:rFonts w:hint="eastAsia" w:ascii="方正小标宋简体" w:eastAsia="方正小标宋简体"/>
          <w:w w:val="110"/>
          <w:sz w:val="44"/>
          <w:lang w:eastAsia="zh-CN"/>
        </w:rPr>
        <w:t xml:space="preserve">局  </w:t>
      </w:r>
      <w:r>
        <w:rPr>
          <w:rFonts w:hint="eastAsia" w:ascii="方正小标宋简体" w:eastAsia="方正小标宋简体"/>
          <w:w w:val="110"/>
          <w:sz w:val="44"/>
          <w:lang w:eastAsia="zh-CN"/>
        </w:rPr>
        <w:tab/>
      </w:r>
      <w:r>
        <w:rPr>
          <w:rFonts w:hint="eastAsia" w:ascii="黑体" w:eastAsia="黑体"/>
          <w:w w:val="110"/>
          <w:sz w:val="28"/>
          <w:lang w:eastAsia="zh-CN"/>
        </w:rPr>
        <w:t xml:space="preserve">发  </w:t>
      </w:r>
      <w:r>
        <w:rPr>
          <w:rFonts w:hint="eastAsia" w:ascii="黑体" w:eastAsia="黑体"/>
          <w:spacing w:val="-69"/>
          <w:w w:val="110"/>
          <w:sz w:val="28"/>
          <w:lang w:eastAsia="zh-CN"/>
        </w:rPr>
        <w:t xml:space="preserve">  </w:t>
      </w:r>
      <w:r>
        <w:rPr>
          <w:rFonts w:hint="eastAsia" w:ascii="黑体" w:eastAsia="黑体"/>
          <w:w w:val="110"/>
          <w:sz w:val="28"/>
          <w:lang w:eastAsia="zh-CN"/>
        </w:rPr>
        <w:t>布</w:t>
      </w:r>
    </w:p>
    <w:p w14:paraId="32BDF040">
      <w:pPr>
        <w:pStyle w:val="5"/>
        <w:rPr>
          <w:rFonts w:ascii="黑体"/>
          <w:sz w:val="20"/>
          <w:lang w:eastAsia="zh-CN"/>
        </w:rPr>
      </w:pPr>
      <w:bookmarkStart w:id="22" w:name="_GoBack"/>
      <w:bookmarkEnd w:id="22"/>
    </w:p>
    <w:p w14:paraId="7D983A87">
      <w:pPr>
        <w:pStyle w:val="5"/>
        <w:rPr>
          <w:rFonts w:ascii="黑体"/>
          <w:sz w:val="20"/>
          <w:lang w:eastAsia="zh-CN"/>
        </w:rPr>
      </w:pPr>
    </w:p>
    <w:p w14:paraId="2DE955A6">
      <w:pPr>
        <w:pStyle w:val="5"/>
        <w:spacing w:before="1"/>
        <w:rPr>
          <w:rFonts w:ascii="黑体"/>
          <w:sz w:val="22"/>
          <w:lang w:eastAsia="zh-CN"/>
        </w:rPr>
      </w:pPr>
      <w:r>
        <w:rPr>
          <w:rFonts w:ascii="黑体" w:hAnsi="华文细黑" w:eastAsia="黑体"/>
          <w:sz w:val="44"/>
          <w:szCs w:val="44"/>
        </w:rPr>
        <w:pict>
          <v:shape id="Text Box 3" o:spid="_x0000_s2054" o:spt="202" type="#_x0000_t202" style="position:absolute;left:0pt;margin-left:266.3pt;margin-top:17.35pt;height:101pt;width:205pt;z-index:251664384;mso-width-relative:page;mso-height-relative:page;" coordsize="21600,21600" o:gfxdata="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Z9U9b2gAAAAoBAAAPAAAAAAAAAAEAIAAAACIA&#10;AABkcnMvZG93bnJldi54bWxQSwECFAAUAAAACACHTuJAjcDkckACAAChBAAADgAAAAAAAAABACAA&#10;AAApAQAAZHJzL2Uyb0RvYy54bWxQSwUGAAAAAAYABgBZAQAA2wUAAAAA&#10;">
            <v:path/>
            <v:fill focussize="0,0"/>
            <v:stroke joinstyle="miter"/>
            <v:imagedata o:title=""/>
            <o:lock v:ext="edit"/>
            <v:textbox>
              <w:txbxContent>
                <w:p w14:paraId="46C818AC">
                  <w:pPr>
                    <w:jc w:val="center"/>
                    <w:rPr>
                      <w:rFonts w:ascii="黑体" w:eastAsia="黑体" w:cs="黑体"/>
                      <w:sz w:val="28"/>
                      <w:szCs w:val="28"/>
                    </w:rPr>
                  </w:pPr>
                </w:p>
                <w:p w14:paraId="356A4480">
                  <w:pPr>
                    <w:jc w:val="center"/>
                    <w:rPr>
                      <w:rFonts w:ascii="黑体" w:eastAsia="黑体"/>
                    </w:rPr>
                  </w:pPr>
                  <w:r>
                    <w:rPr>
                      <w:rFonts w:hint="eastAsia" w:ascii="黑体" w:eastAsia="黑体" w:cs="黑体"/>
                      <w:sz w:val="28"/>
                      <w:szCs w:val="28"/>
                    </w:rPr>
                    <w:t>JJF（皖）××××─××××</w:t>
                  </w:r>
                </w:p>
              </w:txbxContent>
            </v:textbox>
          </v:shape>
        </w:pict>
      </w:r>
    </w:p>
    <w:p w14:paraId="6304635B">
      <w:pPr>
        <w:spacing w:before="19" w:line="225" w:lineRule="auto"/>
        <w:rPr>
          <w:rFonts w:ascii="黑体" w:hAnsi="黑体" w:eastAsia="黑体" w:cs="黑体"/>
          <w:spacing w:val="8"/>
          <w:sz w:val="43"/>
          <w:szCs w:val="43"/>
        </w:rPr>
      </w:pPr>
      <w:r>
        <w:rPr>
          <w:rFonts w:hint="eastAsia" w:ascii="黑体" w:hAnsi="黑体" w:eastAsia="黑体" w:cs="黑体"/>
          <w:spacing w:val="14"/>
          <w:sz w:val="43"/>
          <w:szCs w:val="43"/>
          <w:lang w:eastAsia="zh-CN"/>
        </w:rPr>
        <w:t>重点排放单位</w:t>
      </w:r>
      <w:r>
        <w:rPr>
          <w:rFonts w:ascii="黑体" w:hAnsi="黑体" w:eastAsia="黑体" w:cs="黑体"/>
          <w:spacing w:val="8"/>
          <w:sz w:val="43"/>
          <w:szCs w:val="43"/>
        </w:rPr>
        <w:t>碳</w:t>
      </w:r>
      <w:r>
        <w:rPr>
          <w:rFonts w:hint="eastAsia" w:ascii="黑体" w:hAnsi="黑体" w:eastAsia="黑体" w:cs="黑体"/>
          <w:spacing w:val="8"/>
          <w:sz w:val="43"/>
          <w:szCs w:val="43"/>
          <w:lang w:eastAsia="zh-CN"/>
        </w:rPr>
        <w:t>排放</w:t>
      </w:r>
      <w:r>
        <w:rPr>
          <w:rFonts w:ascii="黑体" w:hAnsi="黑体" w:eastAsia="黑体" w:cs="黑体"/>
          <w:spacing w:val="8"/>
          <w:sz w:val="43"/>
          <w:szCs w:val="43"/>
        </w:rPr>
        <w:t>计量</w:t>
      </w:r>
    </w:p>
    <w:p w14:paraId="5D1AE334">
      <w:pPr>
        <w:spacing w:before="19" w:line="225" w:lineRule="auto"/>
        <w:rPr>
          <w:rFonts w:ascii="黑体" w:hAnsi="黑体" w:eastAsia="黑体" w:cs="黑体"/>
          <w:spacing w:val="7"/>
          <w:sz w:val="43"/>
          <w:szCs w:val="43"/>
        </w:rPr>
      </w:pPr>
      <w:r>
        <w:rPr>
          <w:rFonts w:ascii="黑体" w:hAnsi="黑体" w:eastAsia="黑体" w:cs="黑体"/>
          <w:spacing w:val="8"/>
          <w:sz w:val="43"/>
          <w:szCs w:val="43"/>
        </w:rPr>
        <w:t>器具配备</w:t>
      </w:r>
      <w:r>
        <w:rPr>
          <w:rFonts w:ascii="黑体" w:hAnsi="黑体" w:eastAsia="黑体" w:cs="黑体"/>
          <w:spacing w:val="9"/>
          <w:sz w:val="43"/>
          <w:szCs w:val="43"/>
        </w:rPr>
        <w:t>及</w:t>
      </w:r>
      <w:r>
        <w:rPr>
          <w:rFonts w:ascii="黑体" w:hAnsi="黑体" w:eastAsia="黑体" w:cs="黑体"/>
          <w:spacing w:val="7"/>
          <w:sz w:val="43"/>
          <w:szCs w:val="43"/>
        </w:rPr>
        <w:t>管理技术规范</w:t>
      </w:r>
    </w:p>
    <w:p w14:paraId="6F1AB259">
      <w:pPr>
        <w:spacing w:before="98" w:line="274" w:lineRule="auto"/>
        <w:ind w:left="23" w:right="556"/>
        <w:rPr>
          <w:rFonts w:ascii="Times New Roman" w:hAnsi="Times New Roman" w:eastAsia="Times New Roman" w:cs="Times New Roman"/>
          <w:sz w:val="28"/>
          <w:szCs w:val="28"/>
        </w:rPr>
      </w:pPr>
      <w:r>
        <w:rPr>
          <w:rFonts w:ascii="Times New Roman" w:hAnsi="Times New Roman" w:eastAsia="Times New Roman" w:cs="Times New Roman"/>
          <w:spacing w:val="-1"/>
          <w:sz w:val="28"/>
          <w:szCs w:val="28"/>
        </w:rPr>
        <w:t>Technical Specificati</w:t>
      </w:r>
      <w:r>
        <w:rPr>
          <w:rFonts w:ascii="Times New Roman" w:hAnsi="Times New Roman" w:eastAsia="Times New Roman" w:cs="Times New Roman"/>
          <w:sz w:val="28"/>
          <w:szCs w:val="28"/>
        </w:rPr>
        <w:t>on</w:t>
      </w:r>
      <w:r>
        <w:rPr>
          <w:rFonts w:ascii="Times New Roman" w:hAnsi="Times New Roman" w:eastAsia="Times New Roman" w:cs="Times New Roman"/>
          <w:spacing w:val="-1"/>
          <w:sz w:val="28"/>
          <w:szCs w:val="28"/>
        </w:rPr>
        <w:t xml:space="preserve"> </w:t>
      </w:r>
      <w:r>
        <w:rPr>
          <w:rFonts w:ascii="Times New Roman" w:hAnsi="Times New Roman" w:eastAsia="Times New Roman" w:cs="Times New Roman"/>
          <w:sz w:val="28"/>
          <w:szCs w:val="28"/>
        </w:rPr>
        <w:t>for</w:t>
      </w:r>
      <w:r>
        <w:rPr>
          <w:rFonts w:ascii="Times New Roman" w:hAnsi="Times New Roman" w:eastAsia="Times New Roman" w:cs="Times New Roman"/>
          <w:spacing w:val="-1"/>
          <w:sz w:val="28"/>
          <w:szCs w:val="28"/>
        </w:rPr>
        <w:t xml:space="preserve"> </w:t>
      </w:r>
      <w:r>
        <w:rPr>
          <w:rFonts w:ascii="Times New Roman" w:hAnsi="Times New Roman" w:eastAsia="Times New Roman" w:cs="Times New Roman"/>
          <w:sz w:val="28"/>
          <w:szCs w:val="28"/>
        </w:rPr>
        <w:t>Equipping</w:t>
      </w:r>
      <w:r>
        <w:rPr>
          <w:rFonts w:ascii="Times New Roman" w:hAnsi="Times New Roman" w:eastAsia="Times New Roman" w:cs="Times New Roman"/>
          <w:spacing w:val="-1"/>
          <w:sz w:val="28"/>
          <w:szCs w:val="28"/>
        </w:rPr>
        <w:t xml:space="preserve"> </w:t>
      </w:r>
      <w:r>
        <w:rPr>
          <w:rFonts w:ascii="Times New Roman" w:hAnsi="Times New Roman" w:eastAsia="Times New Roman" w:cs="Times New Roman"/>
          <w:sz w:val="28"/>
          <w:szCs w:val="28"/>
        </w:rPr>
        <w:t>and</w:t>
      </w:r>
    </w:p>
    <w:p w14:paraId="6F1D668A">
      <w:pPr>
        <w:spacing w:before="98" w:line="274" w:lineRule="auto"/>
        <w:ind w:left="23" w:right="556"/>
        <w:rPr>
          <w:rFonts w:ascii="Times New Roman" w:hAnsi="Times New Roman" w:cs="Times New Roman"/>
          <w:sz w:val="28"/>
          <w:szCs w:val="28"/>
          <w:lang w:eastAsia="zh-CN"/>
        </w:rPr>
      </w:pPr>
      <w:r>
        <w:rPr>
          <w:rFonts w:ascii="Times New Roman" w:hAnsi="Times New Roman" w:eastAsia="Times New Roman" w:cs="Times New Roman"/>
          <w:spacing w:val="-1"/>
          <w:sz w:val="28"/>
          <w:szCs w:val="28"/>
        </w:rPr>
        <w:t>Ma</w:t>
      </w:r>
      <w:r>
        <w:rPr>
          <w:rFonts w:ascii="Times New Roman" w:hAnsi="Times New Roman" w:eastAsia="Times New Roman" w:cs="Times New Roman"/>
          <w:sz w:val="28"/>
          <w:szCs w:val="28"/>
        </w:rPr>
        <w:t>naging</w:t>
      </w:r>
      <w:r>
        <w:rPr>
          <w:rFonts w:ascii="Times New Roman" w:hAnsi="Times New Roman" w:eastAsia="Times New Roman" w:cs="Times New Roman"/>
          <w:spacing w:val="-1"/>
          <w:sz w:val="28"/>
          <w:szCs w:val="28"/>
        </w:rPr>
        <w:t xml:space="preserve"> </w:t>
      </w:r>
      <w:r>
        <w:rPr>
          <w:rFonts w:ascii="Times New Roman" w:hAnsi="Times New Roman" w:eastAsia="Times New Roman" w:cs="Times New Roman"/>
          <w:sz w:val="28"/>
          <w:szCs w:val="28"/>
        </w:rPr>
        <w:t>of</w:t>
      </w:r>
      <w:r>
        <w:rPr>
          <w:rFonts w:ascii="Times New Roman" w:hAnsi="Times New Roman" w:eastAsia="Times New Roman" w:cs="Times New Roman"/>
          <w:spacing w:val="-1"/>
          <w:sz w:val="28"/>
          <w:szCs w:val="28"/>
        </w:rPr>
        <w:t xml:space="preserve"> </w:t>
      </w:r>
      <w:r>
        <w:rPr>
          <w:rFonts w:ascii="Times New Roman" w:hAnsi="Times New Roman" w:eastAsia="Times New Roman" w:cs="Times New Roman"/>
          <w:sz w:val="28"/>
          <w:szCs w:val="28"/>
        </w:rPr>
        <w:t>Carbon</w:t>
      </w:r>
      <w:r>
        <w:rPr>
          <w:rFonts w:ascii="Times New Roman" w:hAnsi="Times New Roman" w:eastAsia="Times New Roman" w:cs="Times New Roman"/>
          <w:spacing w:val="-1"/>
          <w:sz w:val="28"/>
          <w:szCs w:val="28"/>
        </w:rPr>
        <w:t xml:space="preserve"> </w:t>
      </w:r>
      <w:r>
        <w:rPr>
          <w:rFonts w:ascii="Times New Roman" w:hAnsi="Times New Roman" w:eastAsia="Times New Roman" w:cs="Times New Roman"/>
          <w:sz w:val="28"/>
          <w:szCs w:val="28"/>
        </w:rPr>
        <w:t>Emission</w:t>
      </w:r>
      <w:r>
        <w:rPr>
          <w:rFonts w:hint="eastAsia" w:ascii="Times New Roman" w:hAnsi="Times New Roman" w:cs="Times New Roman"/>
          <w:sz w:val="28"/>
          <w:szCs w:val="28"/>
          <w:lang w:eastAsia="zh-CN"/>
        </w:rPr>
        <w:t xml:space="preserve"> </w:t>
      </w:r>
      <w:r>
        <w:rPr>
          <w:rFonts w:ascii="Times New Roman" w:hAnsi="Times New Roman" w:eastAsia="Times New Roman" w:cs="Times New Roman"/>
          <w:sz w:val="28"/>
          <w:szCs w:val="28"/>
        </w:rPr>
        <w:t>Measuring</w:t>
      </w:r>
      <w:r>
        <w:rPr>
          <w:rFonts w:hint="eastAsia" w:ascii="Times New Roman" w:hAnsi="Times New Roman" w:cs="Times New Roman"/>
          <w:sz w:val="28"/>
          <w:szCs w:val="28"/>
          <w:lang w:eastAsia="zh-CN"/>
        </w:rPr>
        <w:t xml:space="preserve"> </w:t>
      </w:r>
    </w:p>
    <w:p w14:paraId="4488FB7E">
      <w:pPr>
        <w:spacing w:before="98" w:line="274" w:lineRule="auto"/>
        <w:ind w:left="23" w:right="556"/>
        <w:rPr>
          <w:rFonts w:ascii="Times New Roman" w:hAnsi="Times New Roman" w:eastAsia="Times New Roman" w:cs="Times New Roman"/>
          <w:spacing w:val="-1"/>
          <w:sz w:val="28"/>
          <w:szCs w:val="28"/>
        </w:rPr>
      </w:pPr>
      <w:r>
        <w:rPr>
          <w:rFonts w:ascii="Times New Roman" w:hAnsi="Times New Roman" w:eastAsia="Times New Roman" w:cs="Times New Roman"/>
          <w:spacing w:val="-1"/>
          <w:sz w:val="28"/>
          <w:szCs w:val="28"/>
        </w:rPr>
        <w:t>In</w:t>
      </w:r>
      <w:r>
        <w:rPr>
          <w:rFonts w:ascii="Times New Roman" w:hAnsi="Times New Roman" w:eastAsia="Times New Roman" w:cs="Times New Roman"/>
          <w:sz w:val="28"/>
          <w:szCs w:val="28"/>
        </w:rPr>
        <w:t>strument</w:t>
      </w:r>
      <w:r>
        <w:rPr>
          <w:rFonts w:hint="eastAsia" w:ascii="Times New Roman" w:hAnsi="Times New Roman" w:cs="Times New Roman"/>
          <w:sz w:val="28"/>
          <w:szCs w:val="28"/>
          <w:lang w:eastAsia="zh-CN"/>
        </w:rPr>
        <w:t xml:space="preserve"> </w:t>
      </w:r>
      <w:r>
        <w:rPr>
          <w:rFonts w:ascii="Times New Roman" w:hAnsi="Times New Roman" w:eastAsia="Times New Roman" w:cs="Times New Roman"/>
          <w:sz w:val="28"/>
          <w:szCs w:val="28"/>
        </w:rPr>
        <w:t>in</w:t>
      </w:r>
      <w:r>
        <w:rPr>
          <w:rFonts w:ascii="Times New Roman" w:hAnsi="Times New Roman" w:eastAsia="Times New Roman" w:cs="Times New Roman"/>
          <w:spacing w:val="-1"/>
          <w:sz w:val="28"/>
          <w:szCs w:val="28"/>
        </w:rPr>
        <w:t xml:space="preserve"> </w:t>
      </w:r>
      <w:r>
        <w:rPr>
          <w:rFonts w:hint="eastAsia" w:ascii="Times New Roman" w:hAnsi="Times New Roman" w:eastAsia="Times New Roman" w:cs="Times New Roman"/>
          <w:spacing w:val="-1"/>
          <w:sz w:val="28"/>
          <w:szCs w:val="28"/>
        </w:rPr>
        <w:t>Key Organization</w:t>
      </w:r>
      <w:r>
        <w:rPr>
          <w:rFonts w:hint="eastAsia" w:ascii="Times New Roman" w:hAnsi="Times New Roman" w:cs="Times New Roman"/>
          <w:spacing w:val="-1"/>
          <w:sz w:val="28"/>
          <w:szCs w:val="28"/>
          <w:lang w:eastAsia="zh-CN"/>
        </w:rPr>
        <w:t xml:space="preserve"> of </w:t>
      </w:r>
      <w:r>
        <w:rPr>
          <w:rFonts w:ascii="Times New Roman" w:hAnsi="Times New Roman" w:eastAsia="Times New Roman" w:cs="Times New Roman"/>
          <w:sz w:val="28"/>
          <w:szCs w:val="28"/>
        </w:rPr>
        <w:t>Carbon</w:t>
      </w:r>
      <w:r>
        <w:rPr>
          <w:rFonts w:ascii="Times New Roman" w:hAnsi="Times New Roman" w:eastAsia="Times New Roman" w:cs="Times New Roman"/>
          <w:spacing w:val="-1"/>
          <w:sz w:val="28"/>
          <w:szCs w:val="28"/>
        </w:rPr>
        <w:t xml:space="preserve"> </w:t>
      </w:r>
    </w:p>
    <w:p w14:paraId="68DB3EDB">
      <w:pPr>
        <w:spacing w:before="98" w:line="274" w:lineRule="auto"/>
        <w:ind w:left="23" w:right="556"/>
        <w:rPr>
          <w:rFonts w:ascii="Times New Roman" w:hAnsi="Times New Roman" w:cs="Times New Roman"/>
          <w:sz w:val="28"/>
          <w:szCs w:val="28"/>
          <w:lang w:eastAsia="zh-CN"/>
        </w:rPr>
      </w:pPr>
      <w:r>
        <w:rPr>
          <w:rFonts w:ascii="Times New Roman" w:hAnsi="Times New Roman" w:eastAsia="Times New Roman" w:cs="Times New Roman"/>
          <w:sz w:val="28"/>
          <w:szCs w:val="28"/>
        </w:rPr>
        <w:t>Emission</w:t>
      </w:r>
      <w:r>
        <w:rPr>
          <w:rFonts w:hint="eastAsia" w:ascii="Times New Roman" w:hAnsi="Times New Roman" w:cs="Times New Roman"/>
          <w:sz w:val="28"/>
          <w:szCs w:val="28"/>
          <w:lang w:eastAsia="zh-CN"/>
        </w:rPr>
        <w:t>s</w:t>
      </w:r>
    </w:p>
    <w:p w14:paraId="4EA217DC">
      <w:pPr>
        <w:pStyle w:val="5"/>
        <w:spacing w:before="5"/>
        <w:rPr>
          <w:rFonts w:ascii="Times New Roman"/>
          <w:b/>
          <w:sz w:val="23"/>
        </w:rPr>
      </w:pPr>
      <w:r>
        <w:rPr>
          <w:lang w:eastAsia="zh-CN" w:bidi="ar-SA"/>
        </w:rPr>
        <w:pict>
          <v:line id="直线 147" o:spid="_x0000_s2053" o:spt="20" style="position:absolute;left:0pt;margin-left:68.05pt;margin-top:16.2pt;height:0pt;width:459.2pt;mso-position-horizontal-relative:page;mso-wrap-distance-bottom:0pt;mso-wrap-distance-top:0pt;z-index:-251654144;mso-width-relative:page;mso-height-relative:page;" coordsize="21600,21600" o:gfxdata="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kTxj4dYA&#10;AAAKAQAADwAAAAAAAAABACAAAAAiAAAAZHJzL2Rvd25yZXYueG1sUEsBAhQAFAAAAAgAh07iQHsN&#10;bSfoAQAA4QMAAA4AAAAAAAAAAQAgAAAAJQEAAGRycy9lMm9Eb2MueG1sUEsFBgAAAAAGAAYAWQEA&#10;AH8FAAAAAA==&#10;">
            <v:path arrowok="t"/>
            <v:fill focussize="0,0"/>
            <v:stroke weight="1.5pt"/>
            <v:imagedata o:title=""/>
            <o:lock v:ext="edit"/>
            <w10:wrap type="topAndBottom"/>
          </v:line>
        </w:pict>
      </w:r>
    </w:p>
    <w:p w14:paraId="6A97963D">
      <w:pPr>
        <w:pStyle w:val="5"/>
        <w:rPr>
          <w:rFonts w:ascii="Times New Roman"/>
          <w:b/>
          <w:sz w:val="28"/>
        </w:rPr>
      </w:pPr>
    </w:p>
    <w:p w14:paraId="2A552306">
      <w:pPr>
        <w:pStyle w:val="4"/>
        <w:rPr>
          <w:lang w:eastAsia="zh-CN"/>
        </w:rPr>
      </w:pPr>
    </w:p>
    <w:p w14:paraId="070A4EF3">
      <w:pPr>
        <w:rPr>
          <w:lang w:eastAsia="zh-CN"/>
        </w:rPr>
      </w:pPr>
    </w:p>
    <w:p w14:paraId="192B48DC">
      <w:pPr>
        <w:pStyle w:val="2"/>
        <w:rPr>
          <w:lang w:eastAsia="zh-CN"/>
        </w:rPr>
      </w:pPr>
    </w:p>
    <w:p w14:paraId="08794FD1">
      <w:pPr>
        <w:pStyle w:val="2"/>
        <w:rPr>
          <w:lang w:eastAsia="zh-CN"/>
        </w:rPr>
      </w:pPr>
    </w:p>
    <w:p w14:paraId="022B18F0">
      <w:pPr>
        <w:pStyle w:val="5"/>
        <w:rPr>
          <w:spacing w:val="-3"/>
          <w:lang w:eastAsia="zh-CN"/>
        </w:rPr>
      </w:pPr>
    </w:p>
    <w:tbl>
      <w:tblPr>
        <w:tblStyle w:val="12"/>
        <w:tblW w:w="0" w:type="auto"/>
        <w:tblInd w:w="14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0"/>
        <w:gridCol w:w="4891"/>
      </w:tblGrid>
      <w:tr w14:paraId="55C62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2550" w:type="dxa"/>
            <w:tcBorders>
              <w:top w:val="nil"/>
              <w:left w:val="nil"/>
              <w:bottom w:val="nil"/>
              <w:right w:val="nil"/>
            </w:tcBorders>
          </w:tcPr>
          <w:p w14:paraId="1759AA1B">
            <w:pPr>
              <w:keepNext w:val="0"/>
              <w:keepLines w:val="0"/>
              <w:pageBreakBefore w:val="0"/>
              <w:widowControl w:val="0"/>
              <w:kinsoku/>
              <w:wordWrap/>
              <w:overflowPunct/>
              <w:topLinePunct w:val="0"/>
              <w:autoSpaceDE w:val="0"/>
              <w:autoSpaceDN w:val="0"/>
              <w:bidi w:val="0"/>
              <w:adjustRightInd/>
              <w:snapToGrid/>
              <w:jc w:val="distribute"/>
              <w:textAlignment w:val="auto"/>
              <w:outlineLvl w:val="9"/>
              <w:rPr>
                <w:rFonts w:hint="default"/>
                <w:vertAlign w:val="baseline"/>
              </w:rPr>
            </w:pPr>
            <w:r>
              <w:rPr>
                <w:rFonts w:hint="default" w:ascii="Times New Roman" w:hAnsi="Times New Roman" w:eastAsia="黑体" w:cs="Times New Roman"/>
                <w:b/>
                <w:bCs/>
                <w:color w:val="auto"/>
                <w:sz w:val="28"/>
                <w:highlight w:val="none"/>
              </w:rPr>
              <w:t xml:space="preserve">归 </w:t>
            </w:r>
            <w:r>
              <w:rPr>
                <w:rFonts w:hint="default" w:ascii="Times New Roman" w:hAnsi="Times New Roman" w:eastAsia="黑体" w:cs="Times New Roman"/>
                <w:b/>
                <w:bCs/>
                <w:color w:val="auto"/>
                <w:spacing w:val="-1"/>
                <w:sz w:val="28"/>
                <w:highlight w:val="none"/>
              </w:rPr>
              <w:t xml:space="preserve"> </w:t>
            </w:r>
            <w:r>
              <w:rPr>
                <w:rFonts w:hint="default" w:ascii="Times New Roman" w:hAnsi="Times New Roman" w:eastAsia="黑体" w:cs="Times New Roman"/>
                <w:b/>
                <w:bCs/>
                <w:color w:val="auto"/>
                <w:sz w:val="28"/>
                <w:highlight w:val="none"/>
              </w:rPr>
              <w:t xml:space="preserve">口 </w:t>
            </w:r>
            <w:r>
              <w:rPr>
                <w:rFonts w:hint="default" w:ascii="Times New Roman" w:hAnsi="Times New Roman" w:eastAsia="黑体" w:cs="Times New Roman"/>
                <w:b/>
                <w:bCs/>
                <w:color w:val="auto"/>
                <w:spacing w:val="-1"/>
                <w:sz w:val="28"/>
                <w:highlight w:val="none"/>
              </w:rPr>
              <w:t xml:space="preserve"> </w:t>
            </w:r>
            <w:r>
              <w:rPr>
                <w:rFonts w:hint="default" w:ascii="Times New Roman" w:hAnsi="Times New Roman" w:eastAsia="黑体" w:cs="Times New Roman"/>
                <w:b/>
                <w:bCs/>
                <w:color w:val="auto"/>
                <w:sz w:val="28"/>
                <w:highlight w:val="none"/>
              </w:rPr>
              <w:t>单</w:t>
            </w:r>
            <w:r>
              <w:rPr>
                <w:rFonts w:hint="default" w:ascii="Times New Roman" w:hAnsi="Times New Roman" w:eastAsia="黑体" w:cs="Times New Roman"/>
                <w:b/>
                <w:bCs/>
                <w:color w:val="auto"/>
                <w:spacing w:val="-1"/>
                <w:sz w:val="28"/>
                <w:highlight w:val="none"/>
              </w:rPr>
              <w:t xml:space="preserve">  </w:t>
            </w:r>
            <w:r>
              <w:rPr>
                <w:rFonts w:hint="default" w:ascii="Times New Roman" w:hAnsi="Times New Roman" w:eastAsia="黑体" w:cs="Times New Roman"/>
                <w:b/>
                <w:bCs/>
                <w:color w:val="auto"/>
                <w:sz w:val="28"/>
                <w:highlight w:val="none"/>
              </w:rPr>
              <w:t>位</w:t>
            </w:r>
            <w:r>
              <w:rPr>
                <w:rFonts w:hint="default" w:ascii="Times New Roman" w:hAnsi="Times New Roman" w:eastAsia="黑体" w:cs="Times New Roman"/>
                <w:color w:val="auto"/>
                <w:sz w:val="28"/>
                <w:highlight w:val="none"/>
              </w:rPr>
              <w:t xml:space="preserve"> ：</w:t>
            </w:r>
          </w:p>
        </w:tc>
        <w:tc>
          <w:tcPr>
            <w:tcW w:w="4891" w:type="dxa"/>
            <w:tcBorders>
              <w:top w:val="nil"/>
              <w:left w:val="nil"/>
              <w:bottom w:val="nil"/>
              <w:right w:val="nil"/>
            </w:tcBorders>
          </w:tcPr>
          <w:p w14:paraId="26107035">
            <w:pPr>
              <w:keepNext w:val="0"/>
              <w:keepLines w:val="0"/>
              <w:pageBreakBefore w:val="0"/>
              <w:widowControl w:val="0"/>
              <w:kinsoku/>
              <w:wordWrap/>
              <w:overflowPunct/>
              <w:topLinePunct w:val="0"/>
              <w:autoSpaceDE w:val="0"/>
              <w:autoSpaceDN w:val="0"/>
              <w:bidi w:val="0"/>
              <w:adjustRightInd/>
              <w:snapToGrid/>
              <w:textAlignment w:val="auto"/>
              <w:outlineLvl w:val="9"/>
              <w:rPr>
                <w:rFonts w:hint="eastAsia" w:asciiTheme="minorEastAsia" w:hAnsiTheme="minorEastAsia" w:eastAsiaTheme="minorEastAsia" w:cstheme="minorEastAsia"/>
                <w:b w:val="0"/>
                <w:bCs w:val="0"/>
                <w:vertAlign w:val="baseline"/>
              </w:rPr>
            </w:pPr>
            <w:r>
              <w:rPr>
                <w:rFonts w:hint="eastAsia" w:asciiTheme="minorEastAsia" w:hAnsiTheme="minorEastAsia" w:eastAsiaTheme="minorEastAsia" w:cstheme="minorEastAsia"/>
                <w:b w:val="0"/>
                <w:bCs w:val="0"/>
                <w:color w:val="auto"/>
                <w:sz w:val="28"/>
                <w:highlight w:val="none"/>
              </w:rPr>
              <w:t>安徽省能源计量</w:t>
            </w:r>
            <w:r>
              <w:rPr>
                <w:rFonts w:hint="eastAsia" w:asciiTheme="minorEastAsia" w:hAnsiTheme="minorEastAsia" w:eastAsiaTheme="minorEastAsia" w:cstheme="minorEastAsia"/>
                <w:b w:val="0"/>
                <w:bCs w:val="0"/>
                <w:color w:val="auto"/>
                <w:sz w:val="28"/>
                <w:highlight w:val="none"/>
                <w:lang w:eastAsia="zh-CN"/>
              </w:rPr>
              <w:t>技术</w:t>
            </w:r>
            <w:r>
              <w:rPr>
                <w:rFonts w:hint="eastAsia" w:asciiTheme="minorEastAsia" w:hAnsiTheme="minorEastAsia" w:eastAsiaTheme="minorEastAsia" w:cstheme="minorEastAsia"/>
                <w:b w:val="0"/>
                <w:bCs w:val="0"/>
                <w:color w:val="auto"/>
                <w:sz w:val="28"/>
                <w:highlight w:val="none"/>
              </w:rPr>
              <w:t>委员会</w:t>
            </w:r>
          </w:p>
        </w:tc>
      </w:tr>
      <w:tr w14:paraId="1A02A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2550" w:type="dxa"/>
            <w:tcBorders>
              <w:top w:val="nil"/>
              <w:left w:val="nil"/>
              <w:bottom w:val="nil"/>
              <w:right w:val="nil"/>
            </w:tcBorders>
          </w:tcPr>
          <w:p w14:paraId="084C1AA8">
            <w:pPr>
              <w:keepNext w:val="0"/>
              <w:keepLines w:val="0"/>
              <w:pageBreakBefore w:val="0"/>
              <w:widowControl w:val="0"/>
              <w:kinsoku/>
              <w:wordWrap/>
              <w:overflowPunct/>
              <w:topLinePunct w:val="0"/>
              <w:autoSpaceDE w:val="0"/>
              <w:autoSpaceDN w:val="0"/>
              <w:bidi w:val="0"/>
              <w:adjustRightInd/>
              <w:snapToGrid/>
              <w:jc w:val="distribute"/>
              <w:textAlignment w:val="auto"/>
              <w:outlineLvl w:val="9"/>
              <w:rPr>
                <w:rFonts w:hint="default"/>
                <w:vertAlign w:val="baseline"/>
              </w:rPr>
            </w:pPr>
            <w:r>
              <w:rPr>
                <w:rFonts w:hint="default" w:ascii="Times New Roman" w:hAnsi="Times New Roman" w:eastAsia="黑体" w:cs="Times New Roman"/>
                <w:b/>
                <w:bCs/>
                <w:color w:val="auto"/>
                <w:sz w:val="28"/>
                <w:highlight w:val="none"/>
              </w:rPr>
              <w:t>主要起</w:t>
            </w:r>
            <w:r>
              <w:rPr>
                <w:rFonts w:hint="default" w:ascii="Times New Roman" w:hAnsi="Times New Roman" w:eastAsia="黑体" w:cs="Times New Roman"/>
                <w:b/>
                <w:bCs/>
                <w:color w:val="auto"/>
                <w:spacing w:val="-3"/>
                <w:sz w:val="28"/>
                <w:highlight w:val="none"/>
              </w:rPr>
              <w:t>草</w:t>
            </w:r>
            <w:r>
              <w:rPr>
                <w:rFonts w:hint="default" w:ascii="Times New Roman" w:hAnsi="Times New Roman" w:eastAsia="黑体" w:cs="Times New Roman"/>
                <w:b/>
                <w:bCs/>
                <w:color w:val="auto"/>
                <w:sz w:val="28"/>
                <w:highlight w:val="none"/>
              </w:rPr>
              <w:t>单位</w:t>
            </w:r>
            <w:r>
              <w:rPr>
                <w:rFonts w:hint="default" w:ascii="Times New Roman" w:hAnsi="Times New Roman" w:eastAsia="黑体" w:cs="Times New Roman"/>
                <w:color w:val="auto"/>
                <w:spacing w:val="-3"/>
                <w:sz w:val="28"/>
                <w:highlight w:val="none"/>
              </w:rPr>
              <w:t>：</w:t>
            </w:r>
          </w:p>
        </w:tc>
        <w:tc>
          <w:tcPr>
            <w:tcW w:w="4891" w:type="dxa"/>
            <w:tcBorders>
              <w:top w:val="nil"/>
              <w:left w:val="nil"/>
              <w:bottom w:val="nil"/>
              <w:right w:val="nil"/>
            </w:tcBorders>
          </w:tcPr>
          <w:p w14:paraId="65E1E91F">
            <w:pPr>
              <w:keepNext w:val="0"/>
              <w:keepLines w:val="0"/>
              <w:pageBreakBefore w:val="0"/>
              <w:widowControl w:val="0"/>
              <w:kinsoku/>
              <w:wordWrap/>
              <w:overflowPunct/>
              <w:topLinePunct w:val="0"/>
              <w:autoSpaceDE w:val="0"/>
              <w:autoSpaceDN w:val="0"/>
              <w:bidi w:val="0"/>
              <w:adjustRightInd/>
              <w:snapToGrid/>
              <w:textAlignment w:val="auto"/>
              <w:outlineLvl w:val="9"/>
              <w:rPr>
                <w:rFonts w:hint="eastAsia" w:asciiTheme="minorEastAsia" w:hAnsiTheme="minorEastAsia" w:eastAsiaTheme="minorEastAsia" w:cstheme="minorEastAsia"/>
                <w:b w:val="0"/>
                <w:bCs w:val="0"/>
                <w:color w:val="auto"/>
                <w:spacing w:val="-3"/>
                <w:sz w:val="28"/>
                <w:szCs w:val="22"/>
                <w:highlight w:val="none"/>
                <w:lang w:val="en-US" w:eastAsia="en-US" w:bidi="en-US"/>
              </w:rPr>
            </w:pPr>
            <w:r>
              <w:rPr>
                <w:rFonts w:hint="eastAsia" w:asciiTheme="minorEastAsia" w:hAnsiTheme="minorEastAsia" w:eastAsiaTheme="minorEastAsia" w:cstheme="minorEastAsia"/>
                <w:b w:val="0"/>
                <w:bCs w:val="0"/>
                <w:color w:val="auto"/>
                <w:spacing w:val="-3"/>
                <w:sz w:val="28"/>
                <w:szCs w:val="22"/>
                <w:highlight w:val="none"/>
                <w:lang w:val="en-US" w:eastAsia="en-US" w:bidi="en-US"/>
              </w:rPr>
              <w:t>安徽省计量科学研究院</w:t>
            </w:r>
          </w:p>
        </w:tc>
      </w:tr>
      <w:tr w14:paraId="37F68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2550" w:type="dxa"/>
            <w:tcBorders>
              <w:top w:val="nil"/>
              <w:left w:val="nil"/>
              <w:bottom w:val="nil"/>
              <w:right w:val="nil"/>
            </w:tcBorders>
            <w:shd w:val="clear" w:color="auto" w:fill="auto"/>
            <w:vAlign w:val="top"/>
          </w:tcPr>
          <w:p w14:paraId="59B508EE">
            <w:pPr>
              <w:keepNext w:val="0"/>
              <w:keepLines w:val="0"/>
              <w:pageBreakBefore w:val="0"/>
              <w:widowControl w:val="0"/>
              <w:kinsoku/>
              <w:wordWrap/>
              <w:overflowPunct/>
              <w:topLinePunct w:val="0"/>
              <w:autoSpaceDE w:val="0"/>
              <w:autoSpaceDN w:val="0"/>
              <w:bidi w:val="0"/>
              <w:adjustRightInd/>
              <w:snapToGrid/>
              <w:jc w:val="distribute"/>
              <w:textAlignment w:val="auto"/>
              <w:outlineLvl w:val="9"/>
              <w:rPr>
                <w:rFonts w:hint="default" w:ascii="宋体" w:hAnsi="宋体" w:eastAsia="宋体" w:cs="宋体"/>
                <w:sz w:val="22"/>
                <w:szCs w:val="22"/>
                <w:vertAlign w:val="baseline"/>
                <w:lang w:val="en-US" w:eastAsia="en-US" w:bidi="en-US"/>
              </w:rPr>
            </w:pPr>
            <w:r>
              <w:rPr>
                <w:rFonts w:hint="default" w:ascii="Times New Roman" w:hAnsi="Times New Roman" w:eastAsia="黑体" w:cs="Times New Roman"/>
                <w:b/>
                <w:bCs/>
                <w:color w:val="auto"/>
                <w:spacing w:val="-20"/>
                <w:sz w:val="28"/>
                <w:highlight w:val="none"/>
              </w:rPr>
              <w:t>参加起草单位：</w:t>
            </w:r>
          </w:p>
        </w:tc>
        <w:tc>
          <w:tcPr>
            <w:tcW w:w="4891" w:type="dxa"/>
            <w:tcBorders>
              <w:top w:val="nil"/>
              <w:left w:val="nil"/>
              <w:bottom w:val="nil"/>
              <w:right w:val="nil"/>
            </w:tcBorders>
            <w:shd w:val="clear" w:color="auto" w:fill="auto"/>
            <w:vAlign w:val="top"/>
          </w:tcPr>
          <w:p w14:paraId="76164048">
            <w:pPr>
              <w:keepNext w:val="0"/>
              <w:keepLines w:val="0"/>
              <w:pageBreakBefore w:val="0"/>
              <w:widowControl w:val="0"/>
              <w:kinsoku/>
              <w:wordWrap/>
              <w:overflowPunct/>
              <w:topLinePunct w:val="0"/>
              <w:autoSpaceDE w:val="0"/>
              <w:autoSpaceDN w:val="0"/>
              <w:bidi w:val="0"/>
              <w:adjustRightInd/>
              <w:snapToGrid/>
              <w:textAlignment w:val="auto"/>
              <w:outlineLvl w:val="9"/>
              <w:rPr>
                <w:rFonts w:hint="eastAsia" w:asciiTheme="minorEastAsia" w:hAnsiTheme="minorEastAsia" w:eastAsiaTheme="minorEastAsia" w:cstheme="minorEastAsia"/>
                <w:b w:val="0"/>
                <w:bCs w:val="0"/>
                <w:color w:val="auto"/>
                <w:spacing w:val="-3"/>
                <w:sz w:val="28"/>
                <w:szCs w:val="22"/>
                <w:highlight w:val="none"/>
                <w:lang w:val="en-US" w:eastAsia="en-US" w:bidi="en-US"/>
              </w:rPr>
            </w:pPr>
            <w:r>
              <w:rPr>
                <w:rFonts w:hint="eastAsia" w:asciiTheme="minorEastAsia" w:hAnsiTheme="minorEastAsia" w:eastAsiaTheme="minorEastAsia" w:cstheme="minorEastAsia"/>
                <w:b w:val="0"/>
                <w:bCs w:val="0"/>
                <w:color w:val="auto"/>
                <w:spacing w:val="-3"/>
                <w:sz w:val="28"/>
                <w:szCs w:val="22"/>
                <w:highlight w:val="none"/>
                <w:lang w:val="en-US" w:eastAsia="en-US" w:bidi="en-US"/>
              </w:rPr>
              <w:t>宣城市标准计量所</w:t>
            </w:r>
          </w:p>
        </w:tc>
      </w:tr>
      <w:tr w14:paraId="08409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2550" w:type="dxa"/>
            <w:tcBorders>
              <w:top w:val="nil"/>
              <w:left w:val="nil"/>
              <w:bottom w:val="nil"/>
              <w:right w:val="nil"/>
            </w:tcBorders>
            <w:shd w:val="clear" w:color="auto" w:fill="auto"/>
            <w:vAlign w:val="top"/>
          </w:tcPr>
          <w:p w14:paraId="167B10F9">
            <w:pPr>
              <w:keepNext w:val="0"/>
              <w:keepLines w:val="0"/>
              <w:pageBreakBefore w:val="0"/>
              <w:widowControl w:val="0"/>
              <w:kinsoku/>
              <w:wordWrap/>
              <w:overflowPunct/>
              <w:topLinePunct w:val="0"/>
              <w:autoSpaceDE w:val="0"/>
              <w:autoSpaceDN w:val="0"/>
              <w:bidi w:val="0"/>
              <w:adjustRightInd/>
              <w:snapToGrid/>
              <w:jc w:val="distribute"/>
              <w:textAlignment w:val="auto"/>
              <w:outlineLvl w:val="9"/>
              <w:rPr>
                <w:rFonts w:hint="default" w:ascii="宋体" w:hAnsi="宋体" w:eastAsia="宋体" w:cs="宋体"/>
                <w:sz w:val="22"/>
                <w:szCs w:val="22"/>
                <w:vertAlign w:val="baseline"/>
                <w:lang w:val="en-US" w:eastAsia="en-US" w:bidi="en-US"/>
              </w:rPr>
            </w:pPr>
          </w:p>
        </w:tc>
        <w:tc>
          <w:tcPr>
            <w:tcW w:w="4891" w:type="dxa"/>
            <w:tcBorders>
              <w:top w:val="nil"/>
              <w:left w:val="nil"/>
              <w:bottom w:val="nil"/>
              <w:right w:val="nil"/>
            </w:tcBorders>
            <w:shd w:val="clear" w:color="auto" w:fill="auto"/>
            <w:vAlign w:val="top"/>
          </w:tcPr>
          <w:p w14:paraId="2DF6D9BD">
            <w:pPr>
              <w:pStyle w:val="4"/>
              <w:ind w:left="0" w:leftChars="0" w:firstLine="0" w:firstLineChars="0"/>
              <w:jc w:val="left"/>
              <w:rPr>
                <w:rFonts w:hint="eastAsia" w:asciiTheme="minorEastAsia" w:hAnsiTheme="minorEastAsia" w:eastAsiaTheme="minorEastAsia" w:cstheme="minorEastAsia"/>
                <w:b w:val="0"/>
                <w:bCs w:val="0"/>
                <w:color w:val="auto"/>
                <w:spacing w:val="-3"/>
                <w:sz w:val="28"/>
                <w:szCs w:val="22"/>
                <w:highlight w:val="none"/>
                <w:lang w:val="en-US" w:eastAsia="en-US" w:bidi="en-US"/>
              </w:rPr>
            </w:pPr>
            <w:r>
              <w:rPr>
                <w:rFonts w:hint="eastAsia" w:asciiTheme="minorEastAsia" w:hAnsiTheme="minorEastAsia" w:eastAsiaTheme="minorEastAsia" w:cstheme="minorEastAsia"/>
                <w:b w:val="0"/>
                <w:bCs w:val="0"/>
                <w:color w:val="auto"/>
                <w:spacing w:val="-3"/>
                <w:sz w:val="28"/>
                <w:szCs w:val="22"/>
                <w:highlight w:val="none"/>
                <w:lang w:val="en-US" w:eastAsia="zh-CN" w:bidi="en-US"/>
              </w:rPr>
              <w:t>浙江华验计量检测技术有限公司</w:t>
            </w:r>
          </w:p>
        </w:tc>
      </w:tr>
      <w:tr w14:paraId="2731E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2550" w:type="dxa"/>
            <w:tcBorders>
              <w:top w:val="nil"/>
              <w:left w:val="nil"/>
              <w:bottom w:val="nil"/>
              <w:right w:val="nil"/>
            </w:tcBorders>
          </w:tcPr>
          <w:p w14:paraId="1C302A38">
            <w:pPr>
              <w:keepNext w:val="0"/>
              <w:keepLines w:val="0"/>
              <w:pageBreakBefore w:val="0"/>
              <w:widowControl w:val="0"/>
              <w:kinsoku/>
              <w:wordWrap/>
              <w:overflowPunct/>
              <w:topLinePunct w:val="0"/>
              <w:autoSpaceDE w:val="0"/>
              <w:autoSpaceDN w:val="0"/>
              <w:bidi w:val="0"/>
              <w:adjustRightInd/>
              <w:snapToGrid/>
              <w:jc w:val="distribute"/>
              <w:textAlignment w:val="auto"/>
              <w:outlineLvl w:val="9"/>
              <w:rPr>
                <w:rFonts w:hint="default"/>
                <w:vertAlign w:val="baseline"/>
              </w:rPr>
            </w:pPr>
          </w:p>
        </w:tc>
        <w:tc>
          <w:tcPr>
            <w:tcW w:w="4891" w:type="dxa"/>
            <w:tcBorders>
              <w:top w:val="nil"/>
              <w:left w:val="nil"/>
              <w:bottom w:val="nil"/>
              <w:right w:val="nil"/>
            </w:tcBorders>
          </w:tcPr>
          <w:p w14:paraId="3E360A2E">
            <w:pPr>
              <w:keepNext w:val="0"/>
              <w:keepLines w:val="0"/>
              <w:pageBreakBefore w:val="0"/>
              <w:widowControl w:val="0"/>
              <w:kinsoku/>
              <w:wordWrap/>
              <w:overflowPunct/>
              <w:topLinePunct w:val="0"/>
              <w:autoSpaceDE w:val="0"/>
              <w:autoSpaceDN w:val="0"/>
              <w:bidi w:val="0"/>
              <w:adjustRightInd/>
              <w:snapToGrid/>
              <w:textAlignment w:val="auto"/>
              <w:outlineLvl w:val="9"/>
              <w:rPr>
                <w:rFonts w:hint="eastAsia" w:asciiTheme="minorEastAsia" w:hAnsiTheme="minorEastAsia" w:eastAsiaTheme="minorEastAsia" w:cstheme="minorEastAsia"/>
                <w:b w:val="0"/>
                <w:bCs w:val="0"/>
                <w:vertAlign w:val="baseline"/>
              </w:rPr>
            </w:pPr>
          </w:p>
        </w:tc>
      </w:tr>
    </w:tbl>
    <w:p w14:paraId="644D40F0">
      <w:pPr>
        <w:pStyle w:val="5"/>
        <w:rPr>
          <w:spacing w:val="-3"/>
          <w:lang w:eastAsia="zh-CN"/>
        </w:rPr>
      </w:pPr>
    </w:p>
    <w:p w14:paraId="014A2906">
      <w:pPr>
        <w:pStyle w:val="5"/>
        <w:rPr>
          <w:spacing w:val="-3"/>
          <w:lang w:eastAsia="zh-CN"/>
        </w:rPr>
      </w:pPr>
    </w:p>
    <w:p w14:paraId="28460A4F">
      <w:pPr>
        <w:pStyle w:val="5"/>
        <w:rPr>
          <w:sz w:val="28"/>
          <w:lang w:eastAsia="zh-CN"/>
        </w:rPr>
      </w:pPr>
      <w:r>
        <w:rPr>
          <w:rFonts w:hint="eastAsia"/>
          <w:spacing w:val="-3"/>
          <w:lang w:eastAsia="zh-CN"/>
        </w:rPr>
        <w:t xml:space="preserve">                           </w:t>
      </w:r>
    </w:p>
    <w:p w14:paraId="4A3F05D8">
      <w:pPr>
        <w:pStyle w:val="5"/>
        <w:rPr>
          <w:sz w:val="28"/>
          <w:lang w:eastAsia="zh-CN"/>
        </w:rPr>
      </w:pPr>
    </w:p>
    <w:p w14:paraId="66DD93EE">
      <w:pPr>
        <w:ind w:left="859"/>
        <w:rPr>
          <w:sz w:val="28"/>
          <w:lang w:eastAsia="zh-CN"/>
        </w:rPr>
      </w:pPr>
    </w:p>
    <w:p w14:paraId="74942505">
      <w:pPr>
        <w:jc w:val="center"/>
        <w:rPr>
          <w:sz w:val="28"/>
          <w:lang w:eastAsia="zh-CN"/>
        </w:rPr>
      </w:pPr>
      <w:r>
        <w:rPr>
          <w:sz w:val="28"/>
          <w:lang w:eastAsia="zh-CN"/>
        </w:rPr>
        <w:t>本规范委托</w:t>
      </w:r>
      <w:r>
        <w:rPr>
          <w:rFonts w:hint="eastAsia"/>
          <w:sz w:val="28"/>
          <w:lang w:eastAsia="zh-CN"/>
        </w:rPr>
        <w:t>安徽</w:t>
      </w:r>
      <w:r>
        <w:rPr>
          <w:sz w:val="28"/>
          <w:lang w:eastAsia="zh-CN"/>
        </w:rPr>
        <w:t>省</w:t>
      </w:r>
      <w:r>
        <w:rPr>
          <w:rFonts w:hint="eastAsia"/>
          <w:sz w:val="28"/>
          <w:lang w:eastAsia="zh-CN"/>
        </w:rPr>
        <w:t>能源计量技术委员会</w:t>
      </w:r>
      <w:r>
        <w:rPr>
          <w:sz w:val="28"/>
          <w:lang w:eastAsia="zh-CN"/>
        </w:rPr>
        <w:t>负责解释</w:t>
      </w:r>
    </w:p>
    <w:p w14:paraId="178DA2C1">
      <w:pPr>
        <w:rPr>
          <w:sz w:val="28"/>
          <w:lang w:eastAsia="zh-CN"/>
        </w:rPr>
        <w:sectPr>
          <w:headerReference r:id="rId4" w:type="default"/>
          <w:footerReference r:id="rId5" w:type="default"/>
          <w:pgSz w:w="11910" w:h="16840"/>
          <w:pgMar w:top="1780" w:right="920" w:bottom="280" w:left="1140" w:header="1500" w:footer="0" w:gutter="0"/>
          <w:pgNumType w:start="1"/>
          <w:cols w:space="720" w:num="1"/>
        </w:sectPr>
      </w:pPr>
    </w:p>
    <w:p w14:paraId="661617C5">
      <w:pPr>
        <w:pStyle w:val="5"/>
        <w:rPr>
          <w:sz w:val="20"/>
          <w:lang w:eastAsia="zh-CN"/>
        </w:rPr>
      </w:pPr>
    </w:p>
    <w:p w14:paraId="0CDC9C3B">
      <w:pPr>
        <w:pStyle w:val="5"/>
        <w:rPr>
          <w:sz w:val="20"/>
          <w:lang w:eastAsia="zh-CN"/>
        </w:rPr>
      </w:pPr>
    </w:p>
    <w:p w14:paraId="2ADDEA07">
      <w:pPr>
        <w:pStyle w:val="5"/>
        <w:rPr>
          <w:sz w:val="20"/>
          <w:lang w:eastAsia="zh-CN"/>
        </w:rPr>
      </w:pPr>
    </w:p>
    <w:p w14:paraId="13B96F24">
      <w:pPr>
        <w:pStyle w:val="5"/>
        <w:spacing w:before="10"/>
        <w:rPr>
          <w:sz w:val="18"/>
          <w:lang w:eastAsia="zh-CN"/>
        </w:rPr>
      </w:pPr>
    </w:p>
    <w:p w14:paraId="3D7CA889">
      <w:pPr>
        <w:spacing w:before="62"/>
        <w:ind w:firstLine="840" w:firstLineChars="300"/>
        <w:rPr>
          <w:rFonts w:ascii="黑体" w:eastAsia="黑体"/>
          <w:sz w:val="28"/>
          <w:lang w:eastAsia="zh-CN"/>
        </w:rPr>
      </w:pPr>
      <w:r>
        <w:rPr>
          <w:rFonts w:hint="eastAsia" w:ascii="黑体" w:eastAsia="黑体"/>
          <w:sz w:val="28"/>
          <w:lang w:eastAsia="zh-CN"/>
        </w:rPr>
        <w:t>本规范主要起草人：张孝军  安徽省计量科学研究院</w:t>
      </w:r>
    </w:p>
    <w:p w14:paraId="1330D6E1">
      <w:pPr>
        <w:spacing w:before="62"/>
        <w:ind w:firstLine="3360" w:firstLineChars="1200"/>
        <w:rPr>
          <w:rFonts w:ascii="黑体" w:eastAsia="黑体"/>
          <w:sz w:val="28"/>
          <w:lang w:eastAsia="zh-CN"/>
        </w:rPr>
      </w:pPr>
      <w:r>
        <w:rPr>
          <w:rFonts w:hint="eastAsia" w:ascii="黑体" w:eastAsia="黑体"/>
          <w:sz w:val="28"/>
          <w:lang w:eastAsia="zh-CN"/>
        </w:rPr>
        <w:t>吴  军  安徽省计量科学研究院</w:t>
      </w:r>
    </w:p>
    <w:p w14:paraId="45F00DCD">
      <w:pPr>
        <w:spacing w:before="62"/>
        <w:ind w:firstLine="3360" w:firstLineChars="1200"/>
        <w:rPr>
          <w:rFonts w:ascii="黑体" w:eastAsia="黑体"/>
          <w:sz w:val="28"/>
          <w:lang w:eastAsia="zh-CN"/>
        </w:rPr>
      </w:pPr>
      <w:r>
        <w:rPr>
          <w:rFonts w:hint="eastAsia" w:ascii="黑体" w:eastAsia="黑体"/>
          <w:sz w:val="28"/>
          <w:lang w:eastAsia="zh-CN"/>
        </w:rPr>
        <w:t>毛林伟  安徽省计量科学研究院</w:t>
      </w:r>
    </w:p>
    <w:p w14:paraId="27BEFAC9">
      <w:pPr>
        <w:spacing w:before="62"/>
        <w:ind w:firstLine="3360" w:firstLineChars="1200"/>
        <w:rPr>
          <w:rFonts w:ascii="黑体" w:eastAsia="黑体"/>
          <w:sz w:val="28"/>
          <w:lang w:eastAsia="zh-CN"/>
        </w:rPr>
      </w:pPr>
      <w:r>
        <w:rPr>
          <w:rFonts w:hint="eastAsia" w:ascii="黑体" w:eastAsia="黑体"/>
          <w:sz w:val="28"/>
          <w:lang w:eastAsia="zh-CN"/>
        </w:rPr>
        <w:t xml:space="preserve">殷春前  </w:t>
      </w:r>
      <w:r>
        <w:rPr>
          <w:rFonts w:hint="eastAsia" w:ascii="黑体" w:eastAsia="黑体"/>
          <w:spacing w:val="40"/>
          <w:sz w:val="28"/>
          <w:lang w:eastAsia="zh-CN"/>
        </w:rPr>
        <w:t>宣城市标准计量所</w:t>
      </w:r>
    </w:p>
    <w:p w14:paraId="5FBFE40B">
      <w:pPr>
        <w:spacing w:before="62"/>
        <w:ind w:firstLine="3360" w:firstLineChars="1200"/>
        <w:rPr>
          <w:rFonts w:ascii="黑体" w:eastAsia="黑体"/>
          <w:sz w:val="28"/>
          <w:lang w:eastAsia="zh-CN"/>
        </w:rPr>
      </w:pPr>
      <w:r>
        <w:rPr>
          <w:rFonts w:hint="eastAsia" w:ascii="黑体" w:eastAsia="黑体"/>
          <w:sz w:val="28"/>
          <w:lang w:eastAsia="zh-CN"/>
        </w:rPr>
        <w:t>李  伟  安徽省计量科学研究院</w:t>
      </w:r>
    </w:p>
    <w:p w14:paraId="7B88BFA9">
      <w:pPr>
        <w:pStyle w:val="5"/>
        <w:tabs>
          <w:tab w:val="left" w:pos="2190"/>
        </w:tabs>
        <w:rPr>
          <w:sz w:val="28"/>
          <w:lang w:eastAsia="zh-CN"/>
        </w:rPr>
      </w:pPr>
    </w:p>
    <w:p w14:paraId="7B121388">
      <w:pPr>
        <w:pStyle w:val="5"/>
        <w:rPr>
          <w:sz w:val="20"/>
          <w:lang w:eastAsia="zh-CN"/>
        </w:rPr>
      </w:pPr>
      <w:r>
        <w:rPr>
          <w:rFonts w:hint="eastAsia"/>
          <w:sz w:val="28"/>
          <w:lang w:eastAsia="zh-CN"/>
        </w:rPr>
        <w:t xml:space="preserve">               </w:t>
      </w:r>
    </w:p>
    <w:p w14:paraId="35D1742F">
      <w:pPr>
        <w:ind w:right="560"/>
        <w:jc w:val="center"/>
        <w:rPr>
          <w:rFonts w:ascii="黑体" w:eastAsia="黑体"/>
          <w:sz w:val="28"/>
          <w:lang w:eastAsia="zh-CN"/>
        </w:rPr>
      </w:pPr>
      <w:r>
        <w:rPr>
          <w:rFonts w:hint="eastAsia" w:ascii="黑体" w:eastAsia="黑体"/>
          <w:sz w:val="28"/>
          <w:lang w:eastAsia="zh-CN"/>
        </w:rPr>
        <w:t xml:space="preserve">     参加起草人：张道</w:t>
      </w:r>
      <w:r>
        <w:rPr>
          <w:rFonts w:hint="eastAsia" w:ascii="Times New Roman" w:hAnsi="Times New Roman" w:eastAsia="黑体" w:cs="Times New Roman"/>
          <w:spacing w:val="-3"/>
          <w:sz w:val="28"/>
          <w:lang w:eastAsia="zh-CN"/>
        </w:rPr>
        <w:t xml:space="preserve">隽  </w:t>
      </w:r>
      <w:r>
        <w:rPr>
          <w:rFonts w:hint="eastAsia" w:ascii="黑体" w:eastAsia="黑体"/>
          <w:sz w:val="28"/>
          <w:lang w:eastAsia="zh-CN"/>
        </w:rPr>
        <w:t>浙江华验计量检测技术有限公司</w:t>
      </w:r>
    </w:p>
    <w:p w14:paraId="3667FF24">
      <w:pPr>
        <w:ind w:right="6567"/>
        <w:jc w:val="right"/>
        <w:rPr>
          <w:rFonts w:ascii="黑体" w:eastAsia="黑体"/>
          <w:sz w:val="20"/>
          <w:szCs w:val="20"/>
          <w:lang w:eastAsia="zh-CN"/>
        </w:rPr>
      </w:pPr>
    </w:p>
    <w:p w14:paraId="04E0058B">
      <w:pPr>
        <w:pStyle w:val="5"/>
        <w:tabs>
          <w:tab w:val="left" w:pos="2190"/>
        </w:tabs>
        <w:ind w:firstLine="2100" w:firstLineChars="750"/>
        <w:rPr>
          <w:sz w:val="28"/>
          <w:lang w:eastAsia="zh-CN"/>
        </w:rPr>
      </w:pPr>
      <w:r>
        <w:rPr>
          <w:rFonts w:hint="eastAsia"/>
          <w:sz w:val="28"/>
          <w:lang w:eastAsia="zh-CN"/>
        </w:rPr>
        <w:t xml:space="preserve">               </w:t>
      </w:r>
    </w:p>
    <w:p w14:paraId="5E6D64F0">
      <w:pPr>
        <w:pStyle w:val="5"/>
        <w:jc w:val="both"/>
        <w:rPr>
          <w:sz w:val="28"/>
          <w:lang w:eastAsia="zh-CN"/>
        </w:rPr>
      </w:pPr>
    </w:p>
    <w:p w14:paraId="66634E54">
      <w:pPr>
        <w:pStyle w:val="5"/>
        <w:rPr>
          <w:sz w:val="28"/>
          <w:lang w:eastAsia="zh-CN"/>
        </w:rPr>
      </w:pPr>
      <w:r>
        <w:rPr>
          <w:rFonts w:hint="eastAsia"/>
          <w:sz w:val="28"/>
          <w:lang w:eastAsia="zh-CN"/>
        </w:rPr>
        <w:t xml:space="preserve">                              </w:t>
      </w:r>
    </w:p>
    <w:p w14:paraId="265054DB">
      <w:pPr>
        <w:pStyle w:val="5"/>
        <w:spacing w:before="9"/>
        <w:rPr>
          <w:rFonts w:ascii="黑体"/>
          <w:sz w:val="20"/>
          <w:lang w:eastAsia="zh-CN"/>
        </w:rPr>
      </w:pPr>
    </w:p>
    <w:p w14:paraId="5106E1F4">
      <w:pPr>
        <w:spacing w:line="417" w:lineRule="auto"/>
        <w:rPr>
          <w:sz w:val="28"/>
          <w:lang w:eastAsia="zh-CN"/>
        </w:rPr>
      </w:pPr>
    </w:p>
    <w:p w14:paraId="60632A45">
      <w:pPr>
        <w:spacing w:line="417" w:lineRule="auto"/>
        <w:rPr>
          <w:sz w:val="28"/>
          <w:lang w:eastAsia="zh-CN"/>
        </w:rPr>
        <w:sectPr>
          <w:footerReference r:id="rId6" w:type="default"/>
          <w:pgSz w:w="11910" w:h="16840"/>
          <w:pgMar w:top="1780" w:right="920" w:bottom="280" w:left="1140" w:header="1500" w:footer="0" w:gutter="0"/>
          <w:cols w:space="720" w:num="1"/>
        </w:sectPr>
      </w:pPr>
    </w:p>
    <w:p w14:paraId="53A1A40F">
      <w:pPr>
        <w:tabs>
          <w:tab w:val="left" w:pos="878"/>
        </w:tabs>
        <w:spacing w:before="196"/>
        <w:ind w:right="558"/>
        <w:jc w:val="center"/>
        <w:rPr>
          <w:rFonts w:ascii="黑体" w:eastAsia="黑体"/>
          <w:sz w:val="44"/>
        </w:rPr>
      </w:pPr>
      <w:r>
        <w:rPr>
          <w:rFonts w:hint="eastAsia" w:ascii="黑体" w:eastAsia="黑体"/>
          <w:sz w:val="44"/>
        </w:rPr>
        <w:t>目</w:t>
      </w:r>
      <w:r>
        <w:rPr>
          <w:rFonts w:hint="eastAsia" w:ascii="黑体" w:eastAsia="黑体"/>
          <w:sz w:val="44"/>
        </w:rPr>
        <w:tab/>
      </w:r>
      <w:r>
        <w:rPr>
          <w:rFonts w:hint="eastAsia" w:ascii="黑体" w:eastAsia="黑体"/>
          <w:sz w:val="44"/>
        </w:rPr>
        <w:t>录</w:t>
      </w:r>
    </w:p>
    <w:p w14:paraId="0A1673DB">
      <w:pPr>
        <w:pStyle w:val="5"/>
        <w:tabs>
          <w:tab w:val="right" w:leader="middleDot" w:pos="9240"/>
          <w:tab w:val="right" w:leader="middleDot" w:pos="10500"/>
        </w:tabs>
        <w:spacing w:before="5"/>
        <w:ind w:left="220" w:leftChars="100" w:right="220" w:rightChars="100"/>
        <w:rPr>
          <w:rFonts w:ascii="Times New Roman" w:hAnsi="Times New Roman" w:cs="Times New Roman"/>
          <w:sz w:val="39"/>
        </w:rPr>
      </w:pPr>
    </w:p>
    <w:p w14:paraId="2509EC4A">
      <w:pPr>
        <w:pStyle w:val="5"/>
        <w:tabs>
          <w:tab w:val="right" w:leader="middleDot" w:pos="9240"/>
          <w:tab w:val="right" w:leader="middleDot" w:pos="10500"/>
        </w:tabs>
        <w:spacing w:before="160"/>
        <w:ind w:left="220" w:leftChars="100" w:right="110" w:rightChars="50"/>
        <w:jc w:val="both"/>
        <w:rPr>
          <w:rFonts w:ascii="Times New Roman" w:hAnsi="Times New Roman" w:cs="Times New Roman"/>
          <w:lang w:eastAsia="zh-CN"/>
        </w:rPr>
      </w:pPr>
      <w:r>
        <w:fldChar w:fldCharType="begin"/>
      </w:r>
      <w:r>
        <w:instrText xml:space="preserve"> HYPERLINK \l "_bookmark1" </w:instrText>
      </w:r>
      <w:r>
        <w:fldChar w:fldCharType="separate"/>
      </w:r>
      <w:r>
        <w:rPr>
          <w:rFonts w:ascii="Times New Roman" w:hAnsi="Times New Roman" w:cs="Times New Roman"/>
          <w:lang w:eastAsia="zh-CN"/>
        </w:rPr>
        <w:t>引言</w:t>
      </w:r>
      <w:r>
        <w:rPr>
          <w:rFonts w:ascii="Times New Roman" w:hAnsi="Times New Roman" w:cs="Times New Roman"/>
          <w:lang w:eastAsia="zh-CN"/>
        </w:rPr>
        <w:tab/>
      </w:r>
      <w:r>
        <w:rPr>
          <w:rFonts w:ascii="Times New Roman" w:hAnsi="Times New Roman" w:cs="Times New Roman"/>
          <w:lang w:eastAsia="zh-CN"/>
        </w:rPr>
        <w:fldChar w:fldCharType="end"/>
      </w:r>
      <w:r>
        <w:rPr>
          <w:rFonts w:ascii="Times New Roman" w:hAnsi="Times New Roman" w:cs="Times New Roman"/>
          <w:lang w:eastAsia="zh-CN"/>
        </w:rPr>
        <w:t xml:space="preserve"> (Ⅱ)</w:t>
      </w:r>
    </w:p>
    <w:p w14:paraId="5C6458C2">
      <w:pPr>
        <w:pStyle w:val="5"/>
        <w:tabs>
          <w:tab w:val="right" w:leader="middleDot" w:pos="9240"/>
          <w:tab w:val="right" w:leader="middleDot" w:pos="10500"/>
        </w:tabs>
        <w:spacing w:before="160"/>
        <w:ind w:left="220" w:leftChars="100" w:right="110" w:rightChars="50"/>
        <w:jc w:val="both"/>
        <w:rPr>
          <w:rFonts w:ascii="Times New Roman" w:hAnsi="Times New Roman" w:cs="Times New Roman"/>
          <w:lang w:eastAsia="zh-CN"/>
        </w:rPr>
      </w:pPr>
      <w:r>
        <w:fldChar w:fldCharType="begin"/>
      </w:r>
      <w:r>
        <w:instrText xml:space="preserve"> HYPERLINK \l "_bookmark2" </w:instrText>
      </w:r>
      <w:r>
        <w:fldChar w:fldCharType="separate"/>
      </w:r>
      <w:r>
        <w:rPr>
          <w:rFonts w:ascii="Times New Roman" w:hAnsi="Times New Roman" w:cs="Times New Roman"/>
          <w:lang w:eastAsia="zh-CN"/>
        </w:rPr>
        <w:t xml:space="preserve">1  范围 </w:t>
      </w:r>
      <w:r>
        <w:rPr>
          <w:rFonts w:ascii="Times New Roman" w:hAnsi="Times New Roman" w:cs="Times New Roman"/>
          <w:lang w:eastAsia="zh-CN"/>
        </w:rPr>
        <w:tab/>
      </w:r>
      <w:r>
        <w:rPr>
          <w:rFonts w:ascii="Times New Roman" w:hAnsi="Times New Roman" w:cs="Times New Roman"/>
          <w:lang w:eastAsia="zh-CN"/>
        </w:rPr>
        <w:t>(1</w:t>
      </w:r>
      <w:r>
        <w:rPr>
          <w:rFonts w:ascii="Times New Roman" w:hAnsi="Times New Roman" w:cs="Times New Roman"/>
          <w:lang w:eastAsia="zh-CN"/>
        </w:rPr>
        <w:fldChar w:fldCharType="end"/>
      </w:r>
      <w:r>
        <w:rPr>
          <w:rFonts w:ascii="Times New Roman" w:hAnsi="Times New Roman" w:cs="Times New Roman"/>
          <w:lang w:eastAsia="zh-CN"/>
        </w:rPr>
        <w:t>)</w:t>
      </w:r>
    </w:p>
    <w:p w14:paraId="2B92F5B9">
      <w:pPr>
        <w:pStyle w:val="5"/>
        <w:tabs>
          <w:tab w:val="right" w:leader="middleDot" w:pos="9240"/>
          <w:tab w:val="right" w:leader="middleDot" w:pos="10500"/>
        </w:tabs>
        <w:spacing w:before="160"/>
        <w:ind w:left="220" w:leftChars="100" w:right="110" w:rightChars="50"/>
        <w:jc w:val="both"/>
        <w:rPr>
          <w:rFonts w:ascii="Times New Roman" w:hAnsi="Times New Roman" w:cs="Times New Roman"/>
          <w:lang w:eastAsia="zh-CN"/>
        </w:rPr>
      </w:pPr>
      <w:r>
        <w:fldChar w:fldCharType="begin"/>
      </w:r>
      <w:r>
        <w:instrText xml:space="preserve"> HYPERLINK \l "_bookmark3" </w:instrText>
      </w:r>
      <w:r>
        <w:fldChar w:fldCharType="separate"/>
      </w:r>
      <w:r>
        <w:rPr>
          <w:rFonts w:ascii="Times New Roman" w:hAnsi="Times New Roman" w:cs="Times New Roman"/>
          <w:lang w:eastAsia="zh-CN"/>
        </w:rPr>
        <w:t>2  引用文件</w:t>
      </w:r>
      <w:r>
        <w:rPr>
          <w:rFonts w:ascii="Times New Roman" w:hAnsi="Times New Roman" w:cs="Times New Roman"/>
          <w:lang w:eastAsia="zh-CN"/>
        </w:rPr>
        <w:tab/>
      </w:r>
      <w:r>
        <w:rPr>
          <w:rFonts w:ascii="Times New Roman" w:hAnsi="Times New Roman" w:cs="Times New Roman"/>
          <w:lang w:eastAsia="zh-CN"/>
        </w:rPr>
        <w:t>(1</w:t>
      </w:r>
      <w:r>
        <w:rPr>
          <w:rFonts w:ascii="Times New Roman" w:hAnsi="Times New Roman" w:cs="Times New Roman"/>
          <w:lang w:eastAsia="zh-CN"/>
        </w:rPr>
        <w:fldChar w:fldCharType="end"/>
      </w:r>
      <w:r>
        <w:rPr>
          <w:rFonts w:ascii="Times New Roman" w:hAnsi="Times New Roman" w:cs="Times New Roman"/>
          <w:lang w:eastAsia="zh-CN"/>
        </w:rPr>
        <w:t>)</w:t>
      </w:r>
    </w:p>
    <w:p w14:paraId="3F0F0CF3">
      <w:pPr>
        <w:pStyle w:val="5"/>
        <w:tabs>
          <w:tab w:val="right" w:leader="middleDot" w:pos="9240"/>
          <w:tab w:val="right" w:leader="middleDot" w:pos="10500"/>
        </w:tabs>
        <w:spacing w:before="160"/>
        <w:ind w:left="220" w:leftChars="100" w:right="110" w:rightChars="50"/>
        <w:jc w:val="both"/>
        <w:rPr>
          <w:rFonts w:ascii="Times New Roman" w:hAnsi="Times New Roman" w:cs="Times New Roman"/>
          <w:lang w:eastAsia="zh-CN"/>
        </w:rPr>
      </w:pPr>
      <w:r>
        <w:fldChar w:fldCharType="begin"/>
      </w:r>
      <w:r>
        <w:instrText xml:space="preserve"> HYPERLINK \l "_bookmark4" </w:instrText>
      </w:r>
      <w:r>
        <w:fldChar w:fldCharType="separate"/>
      </w:r>
      <w:r>
        <w:rPr>
          <w:rFonts w:ascii="Times New Roman" w:hAnsi="Times New Roman" w:cs="Times New Roman"/>
          <w:lang w:eastAsia="zh-CN"/>
        </w:rPr>
        <w:t>3  术语和定义</w:t>
      </w:r>
      <w:r>
        <w:rPr>
          <w:rFonts w:ascii="Times New Roman" w:hAnsi="Times New Roman" w:cs="Times New Roman"/>
          <w:lang w:eastAsia="zh-CN"/>
        </w:rPr>
        <w:tab/>
      </w:r>
      <w:r>
        <w:rPr>
          <w:rFonts w:ascii="Times New Roman" w:hAnsi="Times New Roman" w:cs="Times New Roman"/>
          <w:lang w:eastAsia="zh-CN"/>
        </w:rPr>
        <w:t>(1</w:t>
      </w:r>
      <w:r>
        <w:rPr>
          <w:rFonts w:ascii="Times New Roman" w:hAnsi="Times New Roman" w:cs="Times New Roman"/>
          <w:lang w:eastAsia="zh-CN"/>
        </w:rPr>
        <w:fldChar w:fldCharType="end"/>
      </w:r>
      <w:r>
        <w:rPr>
          <w:rFonts w:ascii="Times New Roman" w:hAnsi="Times New Roman" w:cs="Times New Roman"/>
          <w:lang w:eastAsia="zh-CN"/>
        </w:rPr>
        <w:t>)</w:t>
      </w:r>
    </w:p>
    <w:p w14:paraId="4CC2EEC4">
      <w:pPr>
        <w:pStyle w:val="5"/>
        <w:tabs>
          <w:tab w:val="right" w:leader="middleDot" w:pos="9240"/>
          <w:tab w:val="right" w:leader="middleDot" w:pos="10500"/>
        </w:tabs>
        <w:spacing w:before="160"/>
        <w:ind w:left="220" w:leftChars="100" w:right="110" w:rightChars="50"/>
        <w:jc w:val="both"/>
        <w:rPr>
          <w:rFonts w:ascii="Times New Roman" w:hAnsi="Times New Roman" w:cs="Times New Roman"/>
          <w:lang w:eastAsia="zh-CN"/>
        </w:rPr>
      </w:pPr>
      <w:r>
        <w:fldChar w:fldCharType="begin"/>
      </w:r>
      <w:r>
        <w:instrText xml:space="preserve"> HYPERLINK \l "_bookmark5" </w:instrText>
      </w:r>
      <w:r>
        <w:fldChar w:fldCharType="separate"/>
      </w:r>
      <w:r>
        <w:rPr>
          <w:rFonts w:ascii="Times New Roman" w:hAnsi="Times New Roman" w:cs="Times New Roman"/>
          <w:lang w:eastAsia="zh-CN"/>
        </w:rPr>
        <w:t xml:space="preserve">4  概述 </w:t>
      </w:r>
      <w:r>
        <w:rPr>
          <w:rFonts w:ascii="Times New Roman" w:hAnsi="Times New Roman" w:cs="Times New Roman"/>
          <w:lang w:eastAsia="zh-CN"/>
        </w:rPr>
        <w:tab/>
      </w:r>
      <w:r>
        <w:rPr>
          <w:rFonts w:ascii="Times New Roman" w:hAnsi="Times New Roman" w:cs="Times New Roman"/>
          <w:lang w:eastAsia="zh-CN"/>
        </w:rPr>
        <w:t>(</w:t>
      </w:r>
      <w:r>
        <w:rPr>
          <w:rFonts w:hint="eastAsia" w:ascii="Times New Roman" w:hAnsi="Times New Roman" w:cs="Times New Roman"/>
          <w:lang w:eastAsia="zh-CN"/>
        </w:rPr>
        <w:t>3</w:t>
      </w:r>
      <w:r>
        <w:rPr>
          <w:rFonts w:hint="eastAsia" w:ascii="Times New Roman" w:hAnsi="Times New Roman" w:cs="Times New Roman"/>
          <w:lang w:eastAsia="zh-CN"/>
        </w:rPr>
        <w:fldChar w:fldCharType="end"/>
      </w:r>
      <w:r>
        <w:rPr>
          <w:rFonts w:ascii="Times New Roman" w:hAnsi="Times New Roman" w:cs="Times New Roman"/>
          <w:lang w:eastAsia="zh-CN"/>
        </w:rPr>
        <w:t>)</w:t>
      </w:r>
    </w:p>
    <w:p w14:paraId="34E25833">
      <w:pPr>
        <w:pStyle w:val="5"/>
        <w:tabs>
          <w:tab w:val="right" w:leader="middleDot" w:pos="9240"/>
          <w:tab w:val="right" w:leader="middleDot" w:pos="10500"/>
        </w:tabs>
        <w:spacing w:before="160"/>
        <w:ind w:left="220" w:leftChars="100" w:right="110" w:rightChars="50"/>
        <w:jc w:val="both"/>
        <w:rPr>
          <w:rFonts w:ascii="Times New Roman" w:hAnsi="Times New Roman" w:cs="Times New Roman"/>
          <w:lang w:eastAsia="zh-CN"/>
        </w:rPr>
      </w:pPr>
      <w:r>
        <w:fldChar w:fldCharType="begin"/>
      </w:r>
      <w:r>
        <w:instrText xml:space="preserve"> HYPERLINK \l "_bookmark6" </w:instrText>
      </w:r>
      <w:r>
        <w:fldChar w:fldCharType="separate"/>
      </w:r>
      <w:r>
        <w:rPr>
          <w:rFonts w:ascii="Times New Roman" w:hAnsi="Times New Roman" w:cs="Times New Roman"/>
          <w:lang w:eastAsia="zh-CN"/>
        </w:rPr>
        <w:t>5  碳排放计量器具的配备要求</w:t>
      </w:r>
      <w:r>
        <w:rPr>
          <w:rFonts w:ascii="Times New Roman" w:hAnsi="Times New Roman" w:cs="Times New Roman"/>
          <w:lang w:eastAsia="zh-CN"/>
        </w:rPr>
        <w:tab/>
      </w:r>
      <w:r>
        <w:rPr>
          <w:rFonts w:ascii="Times New Roman" w:hAnsi="Times New Roman" w:cs="Times New Roman"/>
          <w:lang w:eastAsia="zh-CN"/>
        </w:rPr>
        <w:t>(</w:t>
      </w:r>
      <w:r>
        <w:rPr>
          <w:rFonts w:hint="eastAsia" w:ascii="Times New Roman" w:hAnsi="Times New Roman" w:cs="Times New Roman"/>
          <w:lang w:eastAsia="zh-CN"/>
        </w:rPr>
        <w:t>3</w:t>
      </w:r>
      <w:r>
        <w:rPr>
          <w:rFonts w:hint="eastAsia" w:ascii="Times New Roman" w:hAnsi="Times New Roman" w:cs="Times New Roman"/>
          <w:lang w:eastAsia="zh-CN"/>
        </w:rPr>
        <w:fldChar w:fldCharType="end"/>
      </w:r>
      <w:r>
        <w:rPr>
          <w:rFonts w:ascii="Times New Roman" w:hAnsi="Times New Roman" w:cs="Times New Roman"/>
          <w:lang w:eastAsia="zh-CN"/>
        </w:rPr>
        <w:t>)</w:t>
      </w:r>
    </w:p>
    <w:p w14:paraId="7A50B74B">
      <w:pPr>
        <w:pStyle w:val="5"/>
        <w:tabs>
          <w:tab w:val="right" w:leader="middleDot" w:pos="9240"/>
          <w:tab w:val="right" w:leader="middleDot" w:pos="10500"/>
        </w:tabs>
        <w:spacing w:before="160"/>
        <w:ind w:left="220" w:leftChars="100" w:right="110" w:rightChars="50"/>
        <w:jc w:val="both"/>
        <w:rPr>
          <w:rFonts w:ascii="Times New Roman" w:hAnsi="Times New Roman" w:cs="Times New Roman"/>
          <w:lang w:eastAsia="zh-CN"/>
        </w:rPr>
      </w:pPr>
      <w:r>
        <w:fldChar w:fldCharType="begin"/>
      </w:r>
      <w:r>
        <w:instrText xml:space="preserve"> HYPERLINK \l "_bookmark7" </w:instrText>
      </w:r>
      <w:r>
        <w:fldChar w:fldCharType="separate"/>
      </w:r>
      <w:r>
        <w:rPr>
          <w:rFonts w:ascii="Times New Roman" w:hAnsi="Times New Roman" w:cs="Times New Roman"/>
          <w:lang w:eastAsia="zh-CN"/>
        </w:rPr>
        <w:t>5.1 碳排放量结果测量不确定度要求</w:t>
      </w:r>
      <w:r>
        <w:rPr>
          <w:rFonts w:ascii="Times New Roman" w:hAnsi="Times New Roman" w:cs="Times New Roman"/>
          <w:lang w:eastAsia="zh-CN"/>
        </w:rPr>
        <w:tab/>
      </w:r>
      <w:r>
        <w:rPr>
          <w:rFonts w:ascii="Times New Roman" w:hAnsi="Times New Roman" w:cs="Times New Roman"/>
          <w:lang w:eastAsia="zh-CN"/>
        </w:rPr>
        <w:t>(</w:t>
      </w:r>
      <w:r>
        <w:rPr>
          <w:rFonts w:hint="eastAsia" w:ascii="Times New Roman" w:hAnsi="Times New Roman" w:cs="Times New Roman"/>
          <w:lang w:eastAsia="zh-CN"/>
        </w:rPr>
        <w:t>3</w:t>
      </w:r>
      <w:r>
        <w:rPr>
          <w:rFonts w:hint="eastAsia" w:ascii="Times New Roman" w:hAnsi="Times New Roman" w:cs="Times New Roman"/>
          <w:lang w:eastAsia="zh-CN"/>
        </w:rPr>
        <w:fldChar w:fldCharType="end"/>
      </w:r>
      <w:r>
        <w:rPr>
          <w:rFonts w:ascii="Times New Roman" w:hAnsi="Times New Roman" w:cs="Times New Roman"/>
          <w:lang w:eastAsia="zh-CN"/>
        </w:rPr>
        <w:t>)</w:t>
      </w:r>
    </w:p>
    <w:p w14:paraId="7CB6CA25">
      <w:pPr>
        <w:pStyle w:val="5"/>
        <w:tabs>
          <w:tab w:val="right" w:leader="middleDot" w:pos="9240"/>
          <w:tab w:val="right" w:leader="middleDot" w:pos="10500"/>
        </w:tabs>
        <w:spacing w:before="160"/>
        <w:ind w:left="220" w:leftChars="100" w:right="110" w:rightChars="50"/>
        <w:jc w:val="both"/>
        <w:rPr>
          <w:rFonts w:ascii="Times New Roman" w:hAnsi="Times New Roman" w:cs="Times New Roman"/>
          <w:lang w:eastAsia="zh-CN"/>
        </w:rPr>
      </w:pPr>
      <w:r>
        <w:fldChar w:fldCharType="begin"/>
      </w:r>
      <w:r>
        <w:instrText xml:space="preserve"> HYPERLINK \l "_bookmark8" </w:instrText>
      </w:r>
      <w:r>
        <w:fldChar w:fldCharType="separate"/>
      </w:r>
      <w:r>
        <w:rPr>
          <w:rFonts w:ascii="Times New Roman" w:hAnsi="Times New Roman" w:cs="Times New Roman"/>
          <w:lang w:eastAsia="zh-CN"/>
        </w:rPr>
        <w:t xml:space="preserve">5.2 碳排放计量器具数据传输要求 </w:t>
      </w:r>
      <w:r>
        <w:rPr>
          <w:rFonts w:ascii="Times New Roman" w:hAnsi="Times New Roman" w:cs="Times New Roman"/>
          <w:lang w:eastAsia="zh-CN"/>
        </w:rPr>
        <w:tab/>
      </w:r>
      <w:r>
        <w:rPr>
          <w:rFonts w:ascii="Times New Roman" w:hAnsi="Times New Roman" w:cs="Times New Roman"/>
          <w:lang w:eastAsia="zh-CN"/>
        </w:rPr>
        <w:t>(</w:t>
      </w:r>
      <w:r>
        <w:rPr>
          <w:rFonts w:hint="eastAsia" w:ascii="Times New Roman" w:hAnsi="Times New Roman" w:cs="Times New Roman"/>
          <w:lang w:eastAsia="zh-CN"/>
        </w:rPr>
        <w:t>3</w:t>
      </w:r>
      <w:r>
        <w:rPr>
          <w:rFonts w:hint="eastAsia" w:ascii="Times New Roman" w:hAnsi="Times New Roman" w:cs="Times New Roman"/>
          <w:lang w:eastAsia="zh-CN"/>
        </w:rPr>
        <w:fldChar w:fldCharType="end"/>
      </w:r>
      <w:r>
        <w:rPr>
          <w:rFonts w:ascii="Times New Roman" w:hAnsi="Times New Roman" w:cs="Times New Roman"/>
          <w:lang w:eastAsia="zh-CN"/>
        </w:rPr>
        <w:t>)</w:t>
      </w:r>
    </w:p>
    <w:p w14:paraId="2F2AD6F7">
      <w:pPr>
        <w:pStyle w:val="5"/>
        <w:tabs>
          <w:tab w:val="right" w:leader="middleDot" w:pos="9240"/>
          <w:tab w:val="right" w:leader="middleDot" w:pos="10500"/>
        </w:tabs>
        <w:spacing w:before="160"/>
        <w:ind w:left="220" w:leftChars="100" w:right="110" w:rightChars="50"/>
        <w:jc w:val="both"/>
        <w:rPr>
          <w:rFonts w:ascii="Times New Roman" w:hAnsi="Times New Roman" w:cs="Times New Roman"/>
          <w:lang w:eastAsia="zh-CN"/>
        </w:rPr>
      </w:pPr>
      <w:r>
        <w:fldChar w:fldCharType="begin"/>
      </w:r>
      <w:r>
        <w:instrText xml:space="preserve"> HYPERLINK \l "_bookmark9" </w:instrText>
      </w:r>
      <w:r>
        <w:fldChar w:fldCharType="separate"/>
      </w:r>
      <w:r>
        <w:rPr>
          <w:rFonts w:ascii="Times New Roman" w:hAnsi="Times New Roman" w:cs="Times New Roman"/>
          <w:lang w:eastAsia="zh-CN"/>
        </w:rPr>
        <w:t>5.3 碳排放直接测量计量器具(系统) 配备要求</w:t>
      </w:r>
      <w:r>
        <w:rPr>
          <w:rFonts w:ascii="Times New Roman" w:hAnsi="Times New Roman" w:cs="Times New Roman"/>
          <w:lang w:eastAsia="zh-CN"/>
        </w:rPr>
        <w:tab/>
      </w:r>
      <w:r>
        <w:rPr>
          <w:rFonts w:ascii="Times New Roman" w:hAnsi="Times New Roman" w:cs="Times New Roman"/>
          <w:lang w:eastAsia="zh-CN"/>
        </w:rPr>
        <w:t>(</w:t>
      </w:r>
      <w:r>
        <w:rPr>
          <w:rFonts w:hint="eastAsia" w:ascii="Times New Roman" w:hAnsi="Times New Roman" w:cs="Times New Roman"/>
          <w:lang w:eastAsia="zh-CN"/>
        </w:rPr>
        <w:t>3</w:t>
      </w:r>
      <w:r>
        <w:rPr>
          <w:rFonts w:hint="eastAsia" w:ascii="Times New Roman" w:hAnsi="Times New Roman" w:cs="Times New Roman"/>
          <w:lang w:eastAsia="zh-CN"/>
        </w:rPr>
        <w:fldChar w:fldCharType="end"/>
      </w:r>
      <w:r>
        <w:rPr>
          <w:rFonts w:ascii="Times New Roman" w:hAnsi="Times New Roman" w:cs="Times New Roman"/>
          <w:lang w:eastAsia="zh-CN"/>
        </w:rPr>
        <w:t>)</w:t>
      </w:r>
    </w:p>
    <w:p w14:paraId="17E2FFF9">
      <w:pPr>
        <w:pStyle w:val="5"/>
        <w:tabs>
          <w:tab w:val="right" w:leader="middleDot" w:pos="9240"/>
          <w:tab w:val="right" w:leader="middleDot" w:pos="10500"/>
        </w:tabs>
        <w:spacing w:before="160"/>
        <w:ind w:left="220" w:leftChars="100" w:right="110" w:rightChars="50"/>
        <w:jc w:val="both"/>
        <w:rPr>
          <w:rFonts w:ascii="Times New Roman" w:hAnsi="Times New Roman" w:cs="Times New Roman"/>
          <w:lang w:eastAsia="zh-CN"/>
        </w:rPr>
      </w:pPr>
      <w:r>
        <w:fldChar w:fldCharType="begin"/>
      </w:r>
      <w:r>
        <w:instrText xml:space="preserve"> HYPERLINK \l "_bookmark10" </w:instrText>
      </w:r>
      <w:r>
        <w:fldChar w:fldCharType="separate"/>
      </w:r>
      <w:r>
        <w:rPr>
          <w:rFonts w:ascii="Times New Roman" w:hAnsi="Times New Roman" w:cs="Times New Roman"/>
          <w:lang w:eastAsia="zh-CN"/>
        </w:rPr>
        <w:t>5.4 碳排放量燃料端核算计量器具配备要求</w:t>
      </w:r>
      <w:r>
        <w:rPr>
          <w:rFonts w:ascii="Times New Roman" w:hAnsi="Times New Roman" w:cs="Times New Roman"/>
          <w:lang w:eastAsia="zh-CN"/>
        </w:rPr>
        <w:tab/>
      </w:r>
      <w:r>
        <w:rPr>
          <w:rFonts w:ascii="Times New Roman" w:hAnsi="Times New Roman" w:cs="Times New Roman"/>
          <w:lang w:eastAsia="zh-CN"/>
        </w:rPr>
        <w:t>(</w:t>
      </w:r>
      <w:r>
        <w:rPr>
          <w:rFonts w:hint="eastAsia" w:ascii="Times New Roman" w:hAnsi="Times New Roman" w:cs="Times New Roman"/>
          <w:lang w:eastAsia="zh-CN"/>
        </w:rPr>
        <w:t>4</w:t>
      </w:r>
      <w:r>
        <w:rPr>
          <w:rFonts w:hint="eastAsia" w:ascii="Times New Roman" w:hAnsi="Times New Roman" w:cs="Times New Roman"/>
          <w:lang w:eastAsia="zh-CN"/>
        </w:rPr>
        <w:fldChar w:fldCharType="end"/>
      </w:r>
      <w:r>
        <w:rPr>
          <w:rFonts w:ascii="Times New Roman" w:hAnsi="Times New Roman" w:cs="Times New Roman"/>
          <w:lang w:eastAsia="zh-CN"/>
        </w:rPr>
        <w:t>)</w:t>
      </w:r>
    </w:p>
    <w:p w14:paraId="5CA24503">
      <w:pPr>
        <w:pStyle w:val="5"/>
        <w:tabs>
          <w:tab w:val="right" w:leader="middleDot" w:pos="9240"/>
          <w:tab w:val="right" w:leader="middleDot" w:pos="10500"/>
        </w:tabs>
        <w:spacing w:before="160"/>
        <w:ind w:left="220" w:leftChars="100" w:right="110" w:rightChars="50"/>
        <w:jc w:val="both"/>
        <w:rPr>
          <w:rFonts w:ascii="Times New Roman" w:hAnsi="Times New Roman" w:cs="Times New Roman"/>
          <w:lang w:eastAsia="zh-CN"/>
        </w:rPr>
      </w:pPr>
      <w:r>
        <w:fldChar w:fldCharType="begin"/>
      </w:r>
      <w:r>
        <w:instrText xml:space="preserve"> HYPERLINK \l "_bookmark11" </w:instrText>
      </w:r>
      <w:r>
        <w:fldChar w:fldCharType="separate"/>
      </w:r>
      <w:r>
        <w:rPr>
          <w:rFonts w:ascii="Times New Roman" w:hAnsi="Times New Roman" w:cs="Times New Roman"/>
          <w:lang w:eastAsia="zh-CN"/>
        </w:rPr>
        <w:t xml:space="preserve">6  碳排放计量器具的管理要求 </w:t>
      </w:r>
      <w:r>
        <w:rPr>
          <w:rFonts w:ascii="Times New Roman" w:hAnsi="Times New Roman" w:cs="Times New Roman"/>
          <w:lang w:eastAsia="zh-CN"/>
        </w:rPr>
        <w:tab/>
      </w:r>
      <w:r>
        <w:rPr>
          <w:rFonts w:ascii="Times New Roman" w:hAnsi="Times New Roman" w:cs="Times New Roman"/>
          <w:lang w:eastAsia="zh-CN"/>
        </w:rPr>
        <w:t>(</w:t>
      </w:r>
      <w:r>
        <w:rPr>
          <w:rFonts w:hint="eastAsia" w:ascii="Times New Roman" w:hAnsi="Times New Roman" w:cs="Times New Roman"/>
          <w:lang w:eastAsia="zh-CN"/>
        </w:rPr>
        <w:t>5</w:t>
      </w:r>
      <w:r>
        <w:rPr>
          <w:rFonts w:hint="eastAsia" w:ascii="Times New Roman" w:hAnsi="Times New Roman" w:cs="Times New Roman"/>
          <w:lang w:eastAsia="zh-CN"/>
        </w:rPr>
        <w:fldChar w:fldCharType="end"/>
      </w:r>
      <w:r>
        <w:rPr>
          <w:rFonts w:ascii="Times New Roman" w:hAnsi="Times New Roman" w:cs="Times New Roman"/>
          <w:lang w:eastAsia="zh-CN"/>
        </w:rPr>
        <w:t>)</w:t>
      </w:r>
    </w:p>
    <w:p w14:paraId="6E55504B">
      <w:pPr>
        <w:pStyle w:val="5"/>
        <w:tabs>
          <w:tab w:val="right" w:leader="middleDot" w:pos="9240"/>
          <w:tab w:val="right" w:leader="middleDot" w:pos="10500"/>
        </w:tabs>
        <w:spacing w:before="160"/>
        <w:ind w:left="220" w:leftChars="100" w:right="110" w:rightChars="50"/>
        <w:jc w:val="both"/>
        <w:rPr>
          <w:rFonts w:ascii="Times New Roman" w:hAnsi="Times New Roman" w:cs="Times New Roman"/>
          <w:lang w:eastAsia="zh-CN"/>
        </w:rPr>
      </w:pPr>
      <w:r>
        <w:fldChar w:fldCharType="begin"/>
      </w:r>
      <w:r>
        <w:instrText xml:space="preserve"> HYPERLINK \l "_bookmark12" </w:instrText>
      </w:r>
      <w:r>
        <w:fldChar w:fldCharType="separate"/>
      </w:r>
      <w:r>
        <w:rPr>
          <w:rFonts w:ascii="Times New Roman" w:hAnsi="Times New Roman" w:cs="Times New Roman"/>
          <w:lang w:eastAsia="zh-CN"/>
        </w:rPr>
        <w:t>6.1 碳排放计量管理制度</w:t>
      </w:r>
      <w:r>
        <w:rPr>
          <w:rFonts w:ascii="Times New Roman" w:hAnsi="Times New Roman" w:cs="Times New Roman"/>
          <w:lang w:eastAsia="zh-CN"/>
        </w:rPr>
        <w:tab/>
      </w:r>
      <w:r>
        <w:rPr>
          <w:rFonts w:ascii="Times New Roman" w:hAnsi="Times New Roman" w:cs="Times New Roman"/>
          <w:lang w:eastAsia="zh-CN"/>
        </w:rPr>
        <w:t>(</w:t>
      </w:r>
      <w:r>
        <w:rPr>
          <w:rFonts w:hint="eastAsia" w:ascii="Times New Roman" w:hAnsi="Times New Roman" w:cs="Times New Roman"/>
          <w:lang w:eastAsia="zh-CN"/>
        </w:rPr>
        <w:t>5</w:t>
      </w:r>
      <w:r>
        <w:rPr>
          <w:rFonts w:hint="eastAsia" w:ascii="Times New Roman" w:hAnsi="Times New Roman" w:cs="Times New Roman"/>
          <w:lang w:eastAsia="zh-CN"/>
        </w:rPr>
        <w:fldChar w:fldCharType="end"/>
      </w:r>
      <w:r>
        <w:rPr>
          <w:rFonts w:ascii="Times New Roman" w:hAnsi="Times New Roman" w:cs="Times New Roman"/>
          <w:lang w:eastAsia="zh-CN"/>
        </w:rPr>
        <w:t>)</w:t>
      </w:r>
    </w:p>
    <w:p w14:paraId="730930B9">
      <w:pPr>
        <w:pStyle w:val="5"/>
        <w:tabs>
          <w:tab w:val="right" w:leader="middleDot" w:pos="9240"/>
          <w:tab w:val="right" w:leader="middleDot" w:pos="10500"/>
        </w:tabs>
        <w:spacing w:before="160"/>
        <w:ind w:left="220" w:leftChars="100" w:right="110" w:rightChars="50"/>
        <w:jc w:val="both"/>
        <w:rPr>
          <w:rFonts w:ascii="Times New Roman" w:hAnsi="Times New Roman" w:cs="Times New Roman"/>
          <w:lang w:eastAsia="zh-CN"/>
        </w:rPr>
      </w:pPr>
      <w:r>
        <w:fldChar w:fldCharType="begin"/>
      </w:r>
      <w:r>
        <w:instrText xml:space="preserve"> HYPERLINK \l "_bookmark13" </w:instrText>
      </w:r>
      <w:r>
        <w:fldChar w:fldCharType="separate"/>
      </w:r>
      <w:r>
        <w:rPr>
          <w:rFonts w:ascii="Times New Roman" w:hAnsi="Times New Roman" w:cs="Times New Roman"/>
          <w:lang w:eastAsia="zh-CN"/>
        </w:rPr>
        <w:t>6.2 碳排放计量人员</w:t>
      </w:r>
      <w:r>
        <w:rPr>
          <w:rFonts w:ascii="Times New Roman" w:hAnsi="Times New Roman" w:cs="Times New Roman"/>
          <w:lang w:eastAsia="zh-CN"/>
        </w:rPr>
        <w:tab/>
      </w:r>
      <w:r>
        <w:rPr>
          <w:rFonts w:ascii="Times New Roman" w:hAnsi="Times New Roman" w:cs="Times New Roman"/>
          <w:lang w:eastAsia="zh-CN"/>
        </w:rPr>
        <w:t>(</w:t>
      </w:r>
      <w:r>
        <w:rPr>
          <w:rFonts w:hint="eastAsia" w:ascii="Times New Roman" w:hAnsi="Times New Roman" w:cs="Times New Roman"/>
          <w:lang w:eastAsia="zh-CN"/>
        </w:rPr>
        <w:t>6</w:t>
      </w:r>
      <w:r>
        <w:rPr>
          <w:rFonts w:hint="eastAsia" w:ascii="Times New Roman" w:hAnsi="Times New Roman" w:cs="Times New Roman"/>
          <w:lang w:eastAsia="zh-CN"/>
        </w:rPr>
        <w:fldChar w:fldCharType="end"/>
      </w:r>
      <w:r>
        <w:rPr>
          <w:rFonts w:ascii="Times New Roman" w:hAnsi="Times New Roman" w:cs="Times New Roman"/>
          <w:lang w:eastAsia="zh-CN"/>
        </w:rPr>
        <w:t>)</w:t>
      </w:r>
    </w:p>
    <w:p w14:paraId="74B2B666">
      <w:pPr>
        <w:pStyle w:val="5"/>
        <w:tabs>
          <w:tab w:val="right" w:leader="middleDot" w:pos="9240"/>
          <w:tab w:val="right" w:leader="middleDot" w:pos="10500"/>
        </w:tabs>
        <w:spacing w:before="160"/>
        <w:ind w:left="220" w:leftChars="100" w:right="110" w:rightChars="50"/>
        <w:jc w:val="both"/>
        <w:rPr>
          <w:rFonts w:ascii="Times New Roman" w:hAnsi="Times New Roman" w:cs="Times New Roman"/>
          <w:lang w:eastAsia="zh-CN"/>
        </w:rPr>
      </w:pPr>
      <w:r>
        <w:fldChar w:fldCharType="begin"/>
      </w:r>
      <w:r>
        <w:instrText xml:space="preserve"> HYPERLINK \l "_bookmark14" </w:instrText>
      </w:r>
      <w:r>
        <w:fldChar w:fldCharType="separate"/>
      </w:r>
      <w:r>
        <w:rPr>
          <w:rFonts w:ascii="Times New Roman" w:hAnsi="Times New Roman" w:cs="Times New Roman"/>
          <w:lang w:eastAsia="zh-CN"/>
        </w:rPr>
        <w:t xml:space="preserve">6.3 碳排放计量器具 </w:t>
      </w:r>
      <w:r>
        <w:rPr>
          <w:rFonts w:ascii="Times New Roman" w:hAnsi="Times New Roman" w:cs="Times New Roman"/>
          <w:lang w:eastAsia="zh-CN"/>
        </w:rPr>
        <w:tab/>
      </w:r>
      <w:r>
        <w:rPr>
          <w:rFonts w:ascii="Times New Roman" w:hAnsi="Times New Roman" w:cs="Times New Roman"/>
          <w:lang w:eastAsia="zh-CN"/>
        </w:rPr>
        <w:t>(</w:t>
      </w:r>
      <w:r>
        <w:rPr>
          <w:rFonts w:hint="eastAsia" w:ascii="Times New Roman" w:hAnsi="Times New Roman" w:cs="Times New Roman"/>
          <w:lang w:eastAsia="zh-CN"/>
        </w:rPr>
        <w:t>6</w:t>
      </w:r>
      <w:r>
        <w:rPr>
          <w:rFonts w:hint="eastAsia" w:ascii="Times New Roman" w:hAnsi="Times New Roman" w:cs="Times New Roman"/>
          <w:lang w:eastAsia="zh-CN"/>
        </w:rPr>
        <w:fldChar w:fldCharType="end"/>
      </w:r>
      <w:r>
        <w:rPr>
          <w:rFonts w:ascii="Times New Roman" w:hAnsi="Times New Roman" w:cs="Times New Roman"/>
          <w:lang w:eastAsia="zh-CN"/>
        </w:rPr>
        <w:t>)</w:t>
      </w:r>
    </w:p>
    <w:p w14:paraId="3C957CFD">
      <w:pPr>
        <w:pStyle w:val="5"/>
        <w:tabs>
          <w:tab w:val="right" w:leader="middleDot" w:pos="9240"/>
          <w:tab w:val="right" w:leader="middleDot" w:pos="10500"/>
        </w:tabs>
        <w:spacing w:before="160"/>
        <w:ind w:left="220" w:leftChars="100" w:right="110" w:rightChars="50"/>
        <w:jc w:val="both"/>
        <w:rPr>
          <w:rFonts w:ascii="Times New Roman" w:hAnsi="Times New Roman" w:cs="Times New Roman"/>
          <w:lang w:eastAsia="zh-CN"/>
        </w:rPr>
      </w:pPr>
      <w:r>
        <w:fldChar w:fldCharType="begin"/>
      </w:r>
      <w:r>
        <w:instrText xml:space="preserve"> HYPERLINK \l "_bookmark15" </w:instrText>
      </w:r>
      <w:r>
        <w:fldChar w:fldCharType="separate"/>
      </w:r>
      <w:r>
        <w:rPr>
          <w:rFonts w:ascii="Times New Roman" w:hAnsi="Times New Roman" w:cs="Times New Roman"/>
          <w:lang w:eastAsia="zh-CN"/>
        </w:rPr>
        <w:t>6.4 碳排放计量数据</w:t>
      </w:r>
      <w:r>
        <w:rPr>
          <w:rFonts w:ascii="Times New Roman" w:hAnsi="Times New Roman" w:cs="Times New Roman"/>
          <w:lang w:eastAsia="zh-CN"/>
        </w:rPr>
        <w:tab/>
      </w:r>
      <w:r>
        <w:rPr>
          <w:rFonts w:ascii="Times New Roman" w:hAnsi="Times New Roman" w:cs="Times New Roman"/>
          <w:lang w:eastAsia="zh-CN"/>
        </w:rPr>
        <w:t>(</w:t>
      </w:r>
      <w:r>
        <w:rPr>
          <w:rFonts w:hint="eastAsia" w:ascii="Times New Roman" w:hAnsi="Times New Roman" w:cs="Times New Roman"/>
          <w:lang w:eastAsia="zh-CN"/>
        </w:rPr>
        <w:t>7</w:t>
      </w:r>
      <w:r>
        <w:rPr>
          <w:rFonts w:hint="eastAsia" w:ascii="Times New Roman" w:hAnsi="Times New Roman" w:cs="Times New Roman"/>
          <w:lang w:eastAsia="zh-CN"/>
        </w:rPr>
        <w:fldChar w:fldCharType="end"/>
      </w:r>
      <w:r>
        <w:rPr>
          <w:rFonts w:ascii="Times New Roman" w:hAnsi="Times New Roman" w:cs="Times New Roman"/>
          <w:lang w:eastAsia="zh-CN"/>
        </w:rPr>
        <w:t>)</w:t>
      </w:r>
    </w:p>
    <w:p w14:paraId="38FFEC02">
      <w:pPr>
        <w:pStyle w:val="5"/>
        <w:rPr>
          <w:rFonts w:ascii="Times New Roman"/>
          <w:sz w:val="20"/>
          <w:lang w:eastAsia="zh-CN"/>
        </w:rPr>
      </w:pPr>
    </w:p>
    <w:p w14:paraId="33DAB16B">
      <w:pPr>
        <w:pStyle w:val="5"/>
        <w:spacing w:before="3"/>
        <w:rPr>
          <w:rFonts w:ascii="Times New Roman"/>
          <w:sz w:val="19"/>
          <w:lang w:eastAsia="zh-CN"/>
        </w:rPr>
      </w:pPr>
    </w:p>
    <w:p w14:paraId="7D2AFF71">
      <w:pPr>
        <w:pStyle w:val="5"/>
        <w:rPr>
          <w:rFonts w:ascii="Times New Roman"/>
          <w:sz w:val="20"/>
          <w:lang w:eastAsia="zh-CN"/>
        </w:rPr>
      </w:pPr>
    </w:p>
    <w:p w14:paraId="772627E2">
      <w:pPr>
        <w:pStyle w:val="3"/>
        <w:pageBreakBefore/>
        <w:tabs>
          <w:tab w:val="left" w:pos="878"/>
        </w:tabs>
        <w:spacing w:before="37"/>
        <w:ind w:right="556"/>
        <w:rPr>
          <w:rFonts w:ascii="黑体" w:eastAsia="黑体"/>
          <w:lang w:eastAsia="zh-CN"/>
        </w:rPr>
      </w:pPr>
      <w:bookmarkStart w:id="0" w:name="引__言"/>
      <w:bookmarkEnd w:id="0"/>
      <w:bookmarkStart w:id="1" w:name="_bookmark0"/>
      <w:bookmarkEnd w:id="1"/>
      <w:r>
        <w:rPr>
          <w:rFonts w:hint="eastAsia" w:ascii="黑体" w:eastAsia="黑体"/>
          <w:lang w:eastAsia="zh-CN"/>
        </w:rPr>
        <w:t>引</w:t>
      </w:r>
      <w:r>
        <w:rPr>
          <w:rFonts w:hint="eastAsia" w:ascii="黑体" w:eastAsia="黑体"/>
          <w:lang w:eastAsia="zh-CN"/>
        </w:rPr>
        <w:tab/>
      </w:r>
      <w:r>
        <w:rPr>
          <w:rFonts w:hint="eastAsia" w:ascii="黑体" w:eastAsia="黑体"/>
          <w:lang w:eastAsia="zh-CN"/>
        </w:rPr>
        <w:t>言</w:t>
      </w:r>
    </w:p>
    <w:p w14:paraId="419A0870">
      <w:pPr>
        <w:pStyle w:val="5"/>
        <w:spacing w:line="364" w:lineRule="auto"/>
        <w:ind w:left="220" w:right="712" w:firstLine="480"/>
        <w:rPr>
          <w:rFonts w:ascii="Times New Roman" w:eastAsia="Times New Roman"/>
          <w:lang w:eastAsia="zh-CN"/>
        </w:rPr>
      </w:pPr>
    </w:p>
    <w:p w14:paraId="17EB563D">
      <w:pPr>
        <w:spacing w:before="160" w:line="360" w:lineRule="auto"/>
        <w:ind w:left="9" w:firstLine="475"/>
        <w:rPr>
          <w:sz w:val="24"/>
          <w:szCs w:val="24"/>
        </w:rPr>
      </w:pPr>
      <w:r>
        <w:rPr>
          <w:rFonts w:hint="eastAsia" w:ascii="Times New Roman" w:hAnsi="Times New Roman" w:cs="Times New Roman"/>
          <w:sz w:val="24"/>
          <w:szCs w:val="24"/>
          <w:lang w:eastAsia="zh-CN"/>
        </w:rPr>
        <w:t xml:space="preserve">为加强重点排放单位碳排放计量器具配备及管理工作，促进重点排放单位有效减排降碳，依据 </w:t>
      </w:r>
      <w:r>
        <w:rPr>
          <w:rFonts w:ascii="Times New Roman" w:hAnsi="Times New Roman" w:eastAsia="Times New Roman" w:cs="Times New Roman"/>
          <w:sz w:val="24"/>
          <w:szCs w:val="24"/>
        </w:rPr>
        <w:t>JJF</w:t>
      </w:r>
      <w:r>
        <w:rPr>
          <w:rFonts w:ascii="Times New Roman" w:hAnsi="Times New Roman" w:eastAsia="Times New Roman" w:cs="Times New Roman"/>
          <w:spacing w:val="8"/>
          <w:sz w:val="24"/>
          <w:szCs w:val="24"/>
        </w:rPr>
        <w:t xml:space="preserve"> 1071-2010</w:t>
      </w:r>
      <w:r>
        <w:rPr>
          <w:spacing w:val="8"/>
          <w:sz w:val="24"/>
          <w:szCs w:val="24"/>
        </w:rPr>
        <w:t>《国家计量校准规范编写规则》、</w:t>
      </w:r>
      <w:r>
        <w:rPr>
          <w:rFonts w:ascii="Times New Roman" w:hAnsi="Times New Roman" w:eastAsia="Times New Roman" w:cs="Times New Roman"/>
          <w:sz w:val="24"/>
          <w:szCs w:val="24"/>
        </w:rPr>
        <w:t>GB</w:t>
      </w:r>
      <w:r>
        <w:rPr>
          <w:rFonts w:hint="eastAsia" w:ascii="Times New Roman" w:hAnsi="Times New Roman" w:cs="Times New Roman"/>
          <w:spacing w:val="8"/>
          <w:sz w:val="24"/>
          <w:szCs w:val="24"/>
          <w:lang w:eastAsia="zh-CN"/>
        </w:rPr>
        <w:t>/T 32150-2015</w:t>
      </w:r>
      <w:r>
        <w:rPr>
          <w:spacing w:val="8"/>
          <w:sz w:val="24"/>
          <w:szCs w:val="24"/>
        </w:rPr>
        <w:t>《工业企业温室</w:t>
      </w:r>
      <w:r>
        <w:rPr>
          <w:spacing w:val="4"/>
          <w:sz w:val="24"/>
          <w:szCs w:val="24"/>
        </w:rPr>
        <w:t>气</w:t>
      </w:r>
      <w:r>
        <w:rPr>
          <w:spacing w:val="13"/>
          <w:sz w:val="24"/>
          <w:szCs w:val="24"/>
        </w:rPr>
        <w:t>体</w:t>
      </w:r>
      <w:r>
        <w:rPr>
          <w:spacing w:val="7"/>
          <w:sz w:val="24"/>
          <w:szCs w:val="24"/>
        </w:rPr>
        <w:t>排放核算和报告</w:t>
      </w:r>
      <w:r>
        <w:rPr>
          <w:rFonts w:hint="eastAsia"/>
          <w:spacing w:val="7"/>
          <w:sz w:val="24"/>
          <w:szCs w:val="24"/>
          <w:lang w:eastAsia="zh-CN"/>
        </w:rPr>
        <w:t>通</w:t>
      </w:r>
      <w:r>
        <w:rPr>
          <w:spacing w:val="7"/>
          <w:sz w:val="24"/>
          <w:szCs w:val="24"/>
        </w:rPr>
        <w:t>则》、</w:t>
      </w:r>
      <w:r>
        <w:rPr>
          <w:rFonts w:ascii="Times New Roman" w:hAnsi="Times New Roman" w:eastAsia="Times New Roman" w:cs="Times New Roman"/>
          <w:sz w:val="24"/>
          <w:szCs w:val="24"/>
        </w:rPr>
        <w:t>JJF</w:t>
      </w:r>
      <w:r>
        <w:rPr>
          <w:rFonts w:ascii="Times New Roman" w:hAnsi="Times New Roman" w:eastAsia="Times New Roman" w:cs="Times New Roman"/>
          <w:spacing w:val="7"/>
          <w:sz w:val="24"/>
          <w:szCs w:val="24"/>
        </w:rPr>
        <w:t xml:space="preserve"> 1356-2012</w:t>
      </w:r>
      <w:r>
        <w:rPr>
          <w:spacing w:val="7"/>
          <w:sz w:val="24"/>
          <w:szCs w:val="24"/>
        </w:rPr>
        <w:t>《重点用能单位能源计量审查规范》等</w:t>
      </w:r>
      <w:r>
        <w:rPr>
          <w:spacing w:val="8"/>
          <w:sz w:val="24"/>
          <w:szCs w:val="24"/>
        </w:rPr>
        <w:t>基础性系列规范</w:t>
      </w:r>
      <w:r>
        <w:rPr>
          <w:rFonts w:hint="eastAsia"/>
          <w:spacing w:val="8"/>
          <w:sz w:val="24"/>
          <w:szCs w:val="24"/>
          <w:lang w:eastAsia="zh-CN"/>
        </w:rPr>
        <w:t>，</w:t>
      </w:r>
      <w:r>
        <w:rPr>
          <w:spacing w:val="11"/>
          <w:sz w:val="24"/>
          <w:szCs w:val="24"/>
        </w:rPr>
        <w:t xml:space="preserve">参照 </w:t>
      </w:r>
      <w:r>
        <w:rPr>
          <w:rFonts w:ascii="Times New Roman" w:hAnsi="Times New Roman" w:eastAsia="Times New Roman" w:cs="Times New Roman"/>
          <w:sz w:val="24"/>
          <w:szCs w:val="24"/>
        </w:rPr>
        <w:t>GB</w:t>
      </w:r>
      <w:r>
        <w:rPr>
          <w:rFonts w:ascii="Times New Roman" w:hAnsi="Times New Roman" w:eastAsia="Times New Roman" w:cs="Times New Roman"/>
          <w:spacing w:val="11"/>
          <w:sz w:val="24"/>
          <w:szCs w:val="24"/>
        </w:rPr>
        <w:t xml:space="preserve"> 17167-2006</w:t>
      </w:r>
      <w:r>
        <w:rPr>
          <w:spacing w:val="11"/>
          <w:sz w:val="24"/>
          <w:szCs w:val="24"/>
        </w:rPr>
        <w:t>《用能单位能源计量器具配备和管理通则》</w:t>
      </w:r>
      <w:r>
        <w:rPr>
          <w:spacing w:val="10"/>
          <w:sz w:val="24"/>
          <w:szCs w:val="24"/>
        </w:rPr>
        <w:t>的部分内容</w:t>
      </w:r>
      <w:r>
        <w:rPr>
          <w:rFonts w:hint="eastAsia"/>
          <w:spacing w:val="10"/>
          <w:sz w:val="24"/>
          <w:szCs w:val="24"/>
          <w:lang w:eastAsia="zh-CN"/>
        </w:rPr>
        <w:t>，制</w:t>
      </w:r>
      <w:r>
        <w:rPr>
          <w:rFonts w:hint="eastAsia"/>
          <w:spacing w:val="7"/>
          <w:sz w:val="24"/>
          <w:szCs w:val="24"/>
          <w:lang w:eastAsia="zh-CN"/>
        </w:rPr>
        <w:t>定《重点排放单位碳排放计量器具配备及管理技术规范》（以下简称规范）</w:t>
      </w:r>
      <w:r>
        <w:rPr>
          <w:spacing w:val="7"/>
          <w:sz w:val="24"/>
          <w:szCs w:val="24"/>
        </w:rPr>
        <w:t>。</w:t>
      </w:r>
    </w:p>
    <w:p w14:paraId="0EE96CE7">
      <w:pPr>
        <w:spacing w:before="160" w:line="360" w:lineRule="auto"/>
        <w:ind w:left="1" w:right="2" w:firstLine="488"/>
        <w:rPr>
          <w:spacing w:val="22"/>
          <w:sz w:val="24"/>
          <w:szCs w:val="24"/>
          <w:lang w:eastAsia="zh-CN"/>
        </w:rPr>
      </w:pPr>
      <w:r>
        <w:rPr>
          <w:spacing w:val="22"/>
          <w:sz w:val="24"/>
          <w:szCs w:val="24"/>
        </w:rPr>
        <w:t>本规范为首次制定。</w:t>
      </w:r>
    </w:p>
    <w:p w14:paraId="4ACF2CD4">
      <w:pPr>
        <w:pStyle w:val="5"/>
        <w:rPr>
          <w:sz w:val="20"/>
          <w:lang w:eastAsia="zh-CN"/>
        </w:rPr>
      </w:pPr>
    </w:p>
    <w:p w14:paraId="117EB057">
      <w:pPr>
        <w:pStyle w:val="5"/>
        <w:rPr>
          <w:sz w:val="20"/>
          <w:lang w:eastAsia="zh-CN"/>
        </w:rPr>
      </w:pPr>
    </w:p>
    <w:p w14:paraId="577C7728">
      <w:pPr>
        <w:pStyle w:val="5"/>
        <w:rPr>
          <w:sz w:val="20"/>
          <w:lang w:eastAsia="zh-CN"/>
        </w:rPr>
      </w:pPr>
    </w:p>
    <w:p w14:paraId="1938C092">
      <w:pPr>
        <w:pStyle w:val="5"/>
        <w:rPr>
          <w:sz w:val="20"/>
          <w:lang w:eastAsia="zh-CN"/>
        </w:rPr>
      </w:pPr>
    </w:p>
    <w:p w14:paraId="3E189A22">
      <w:pPr>
        <w:pStyle w:val="5"/>
        <w:rPr>
          <w:sz w:val="20"/>
          <w:lang w:eastAsia="zh-CN"/>
        </w:rPr>
      </w:pPr>
    </w:p>
    <w:p w14:paraId="3CFF3EE8">
      <w:pPr>
        <w:pStyle w:val="5"/>
        <w:rPr>
          <w:sz w:val="20"/>
          <w:lang w:eastAsia="zh-CN"/>
        </w:rPr>
      </w:pPr>
    </w:p>
    <w:p w14:paraId="06063671">
      <w:pPr>
        <w:pStyle w:val="5"/>
        <w:rPr>
          <w:sz w:val="20"/>
          <w:lang w:eastAsia="zh-CN"/>
        </w:rPr>
      </w:pPr>
    </w:p>
    <w:p w14:paraId="3FF9AD8F">
      <w:pPr>
        <w:pStyle w:val="5"/>
        <w:rPr>
          <w:sz w:val="20"/>
          <w:lang w:eastAsia="zh-CN"/>
        </w:rPr>
      </w:pPr>
    </w:p>
    <w:p w14:paraId="51C7371F">
      <w:pPr>
        <w:pStyle w:val="5"/>
        <w:rPr>
          <w:sz w:val="20"/>
          <w:lang w:eastAsia="zh-CN"/>
        </w:rPr>
      </w:pPr>
    </w:p>
    <w:p w14:paraId="065051DD">
      <w:pPr>
        <w:pStyle w:val="5"/>
        <w:rPr>
          <w:sz w:val="20"/>
          <w:lang w:eastAsia="zh-CN"/>
        </w:rPr>
      </w:pPr>
    </w:p>
    <w:p w14:paraId="34D2B6BF">
      <w:pPr>
        <w:pStyle w:val="5"/>
        <w:rPr>
          <w:sz w:val="20"/>
          <w:lang w:eastAsia="zh-CN"/>
        </w:rPr>
      </w:pPr>
    </w:p>
    <w:p w14:paraId="0BAEAB55">
      <w:pPr>
        <w:pStyle w:val="5"/>
        <w:rPr>
          <w:sz w:val="20"/>
          <w:lang w:eastAsia="zh-CN"/>
        </w:rPr>
      </w:pPr>
    </w:p>
    <w:p w14:paraId="07129FF0">
      <w:pPr>
        <w:pStyle w:val="5"/>
        <w:rPr>
          <w:sz w:val="20"/>
          <w:lang w:eastAsia="zh-CN"/>
        </w:rPr>
      </w:pPr>
    </w:p>
    <w:p w14:paraId="201BB2C2">
      <w:pPr>
        <w:pStyle w:val="5"/>
        <w:rPr>
          <w:sz w:val="20"/>
          <w:lang w:eastAsia="zh-CN"/>
        </w:rPr>
      </w:pPr>
    </w:p>
    <w:p w14:paraId="40817588">
      <w:pPr>
        <w:pStyle w:val="5"/>
        <w:rPr>
          <w:sz w:val="20"/>
          <w:lang w:eastAsia="zh-CN"/>
        </w:rPr>
      </w:pPr>
    </w:p>
    <w:p w14:paraId="6EEDAB1F">
      <w:pPr>
        <w:pStyle w:val="5"/>
        <w:rPr>
          <w:sz w:val="20"/>
          <w:lang w:eastAsia="zh-CN"/>
        </w:rPr>
      </w:pPr>
    </w:p>
    <w:p w14:paraId="671DB02F">
      <w:pPr>
        <w:pStyle w:val="5"/>
        <w:rPr>
          <w:sz w:val="20"/>
          <w:lang w:eastAsia="zh-CN"/>
        </w:rPr>
      </w:pPr>
    </w:p>
    <w:p w14:paraId="14FE3730">
      <w:pPr>
        <w:pStyle w:val="5"/>
        <w:rPr>
          <w:sz w:val="20"/>
          <w:lang w:eastAsia="zh-CN"/>
        </w:rPr>
      </w:pPr>
    </w:p>
    <w:p w14:paraId="4B0A74DB">
      <w:pPr>
        <w:pStyle w:val="5"/>
        <w:rPr>
          <w:sz w:val="20"/>
          <w:lang w:eastAsia="zh-CN"/>
        </w:rPr>
      </w:pPr>
    </w:p>
    <w:p w14:paraId="597933E3">
      <w:pPr>
        <w:pStyle w:val="5"/>
        <w:rPr>
          <w:sz w:val="20"/>
          <w:lang w:eastAsia="zh-CN"/>
        </w:rPr>
      </w:pPr>
    </w:p>
    <w:p w14:paraId="7CA89BD3">
      <w:pPr>
        <w:pStyle w:val="5"/>
        <w:rPr>
          <w:sz w:val="20"/>
          <w:lang w:eastAsia="zh-CN"/>
        </w:rPr>
      </w:pPr>
    </w:p>
    <w:p w14:paraId="4A9F5779">
      <w:pPr>
        <w:pageBreakBefore/>
        <w:spacing w:before="55"/>
        <w:ind w:right="556"/>
        <w:jc w:val="center"/>
        <w:rPr>
          <w:rFonts w:ascii="黑体" w:eastAsia="黑体"/>
          <w:sz w:val="32"/>
          <w:lang w:eastAsia="zh-CN"/>
        </w:rPr>
        <w:sectPr>
          <w:headerReference r:id="rId7" w:type="default"/>
          <w:footerReference r:id="rId8" w:type="default"/>
          <w:pgSz w:w="11910" w:h="16840"/>
          <w:pgMar w:top="1780" w:right="918" w:bottom="278" w:left="1140" w:header="0" w:footer="680" w:gutter="0"/>
          <w:pgNumType w:fmt="upperRoman" w:start="1"/>
          <w:cols w:space="720" w:num="1"/>
        </w:sectPr>
      </w:pPr>
    </w:p>
    <w:p w14:paraId="10725BA1">
      <w:pPr>
        <w:pageBreakBefore/>
        <w:spacing w:before="55"/>
        <w:ind w:right="556"/>
        <w:jc w:val="center"/>
        <w:rPr>
          <w:rFonts w:ascii="黑体" w:eastAsia="黑体"/>
          <w:sz w:val="32"/>
          <w:lang w:eastAsia="zh-CN"/>
        </w:rPr>
      </w:pPr>
      <w:r>
        <w:rPr>
          <w:rFonts w:hint="eastAsia" w:ascii="黑体" w:eastAsia="黑体"/>
          <w:sz w:val="32"/>
          <w:lang w:eastAsia="zh-CN"/>
        </w:rPr>
        <w:t>重点排放单位碳排放计量器具配备及管理技术规范</w:t>
      </w:r>
    </w:p>
    <w:p w14:paraId="68C58CF6">
      <w:pPr>
        <w:pStyle w:val="5"/>
        <w:spacing w:before="11"/>
        <w:rPr>
          <w:rFonts w:ascii="黑体"/>
          <w:sz w:val="18"/>
          <w:lang w:eastAsia="zh-CN"/>
        </w:rPr>
      </w:pPr>
    </w:p>
    <w:p w14:paraId="723DA12A">
      <w:pPr>
        <w:pStyle w:val="14"/>
        <w:numPr>
          <w:ilvl w:val="0"/>
          <w:numId w:val="1"/>
        </w:numPr>
        <w:tabs>
          <w:tab w:val="left" w:pos="580"/>
          <w:tab w:val="left" w:pos="581"/>
        </w:tabs>
        <w:spacing w:before="160" w:after="160" w:line="360" w:lineRule="auto"/>
        <w:ind w:left="584" w:hanging="363"/>
        <w:rPr>
          <w:rFonts w:ascii="黑体" w:eastAsia="黑体"/>
          <w:sz w:val="24"/>
        </w:rPr>
      </w:pPr>
      <w:bookmarkStart w:id="2" w:name="_bookmark1"/>
      <w:bookmarkEnd w:id="2"/>
      <w:bookmarkStart w:id="3" w:name="1__范围"/>
      <w:bookmarkEnd w:id="3"/>
      <w:r>
        <w:rPr>
          <w:rFonts w:hint="eastAsia" w:ascii="黑体" w:eastAsia="黑体"/>
          <w:sz w:val="24"/>
        </w:rPr>
        <w:t>范围</w:t>
      </w:r>
    </w:p>
    <w:p w14:paraId="4D72EC6F">
      <w:pPr>
        <w:pStyle w:val="5"/>
        <w:spacing w:before="160" w:line="360" w:lineRule="auto"/>
        <w:ind w:left="221" w:right="726" w:firstLine="482"/>
        <w:rPr>
          <w:lang w:eastAsia="zh-CN"/>
        </w:rPr>
      </w:pPr>
      <w:r>
        <w:rPr>
          <w:lang w:eastAsia="zh-CN"/>
        </w:rPr>
        <w:t>本规范规定了</w:t>
      </w:r>
      <w:r>
        <w:rPr>
          <w:rFonts w:hint="eastAsia"/>
          <w:lang w:eastAsia="zh-CN"/>
        </w:rPr>
        <w:t>重点排放单位在</w:t>
      </w:r>
      <w:r>
        <w:rPr>
          <w:lang w:eastAsia="zh-CN"/>
        </w:rPr>
        <w:t>碳排放过程中碳计量器具配备和管理的基本要求。</w:t>
      </w:r>
    </w:p>
    <w:p w14:paraId="4751DB02">
      <w:pPr>
        <w:pStyle w:val="5"/>
        <w:spacing w:before="80" w:line="360" w:lineRule="auto"/>
        <w:ind w:left="221" w:right="726" w:firstLine="482"/>
        <w:rPr>
          <w:rFonts w:ascii="Times New Roman" w:hAnsi="Times New Roman" w:cs="Times New Roman"/>
          <w:lang w:eastAsia="zh-CN"/>
        </w:rPr>
      </w:pPr>
      <w:r>
        <w:rPr>
          <w:rFonts w:ascii="Times New Roman" w:hAnsi="Times New Roman" w:cs="Times New Roman"/>
          <w:lang w:eastAsia="zh-CN"/>
        </w:rPr>
        <w:t>本规范适用于</w:t>
      </w:r>
      <w:r>
        <w:rPr>
          <w:rFonts w:hint="eastAsia" w:ascii="Times New Roman" w:hAnsi="Times New Roman" w:cs="Times New Roman"/>
          <w:lang w:eastAsia="zh-CN"/>
        </w:rPr>
        <w:t>安徽省内重点排放单位（包括</w:t>
      </w:r>
      <w:r>
        <w:rPr>
          <w:rFonts w:ascii="Times New Roman" w:hAnsi="Times New Roman" w:cs="Times New Roman"/>
          <w:lang w:eastAsia="zh-CN"/>
        </w:rPr>
        <w:t>生产企业</w:t>
      </w:r>
      <w:r>
        <w:rPr>
          <w:rFonts w:hint="eastAsia" w:ascii="Times New Roman" w:hAnsi="Times New Roman" w:cs="Times New Roman"/>
          <w:lang w:eastAsia="zh-CN"/>
        </w:rPr>
        <w:t>或经济组织）</w:t>
      </w:r>
      <w:r>
        <w:rPr>
          <w:rFonts w:ascii="Times New Roman" w:hAnsi="Times New Roman" w:cs="Times New Roman"/>
          <w:lang w:eastAsia="zh-CN"/>
        </w:rPr>
        <w:t>，其他生产企业</w:t>
      </w:r>
      <w:r>
        <w:rPr>
          <w:rFonts w:hint="eastAsia" w:ascii="Times New Roman" w:hAnsi="Times New Roman" w:cs="Times New Roman"/>
          <w:lang w:eastAsia="zh-CN"/>
        </w:rPr>
        <w:t>或经济组织</w:t>
      </w:r>
      <w:r>
        <w:rPr>
          <w:rFonts w:ascii="Times New Roman" w:hAnsi="Times New Roman" w:cs="Times New Roman"/>
          <w:lang w:eastAsia="zh-CN"/>
        </w:rPr>
        <w:t>参照本规范执行。</w:t>
      </w:r>
    </w:p>
    <w:p w14:paraId="5A32F313">
      <w:pPr>
        <w:pStyle w:val="14"/>
        <w:numPr>
          <w:ilvl w:val="0"/>
          <w:numId w:val="1"/>
        </w:numPr>
        <w:tabs>
          <w:tab w:val="left" w:pos="580"/>
          <w:tab w:val="left" w:pos="581"/>
        </w:tabs>
        <w:spacing w:before="160" w:after="160" w:line="360" w:lineRule="auto"/>
        <w:ind w:left="584" w:hanging="363"/>
        <w:rPr>
          <w:rFonts w:ascii="黑体" w:eastAsia="黑体"/>
          <w:sz w:val="24"/>
        </w:rPr>
      </w:pPr>
      <w:bookmarkStart w:id="4" w:name="_bookmark2"/>
      <w:bookmarkEnd w:id="4"/>
      <w:bookmarkStart w:id="5" w:name="2__引用文件"/>
      <w:bookmarkEnd w:id="5"/>
      <w:r>
        <w:rPr>
          <w:rFonts w:hint="eastAsia" w:ascii="黑体" w:eastAsia="黑体"/>
          <w:sz w:val="24"/>
        </w:rPr>
        <w:t>引用文件</w:t>
      </w:r>
    </w:p>
    <w:p w14:paraId="73E64BA0">
      <w:pPr>
        <w:spacing w:before="160" w:line="227" w:lineRule="auto"/>
        <w:ind w:left="221" w:right="726" w:firstLine="482"/>
        <w:rPr>
          <w:rFonts w:ascii="Times New Roman" w:hAnsi="Times New Roman" w:cs="Times New Roman"/>
          <w:spacing w:val="8"/>
          <w:sz w:val="24"/>
          <w:szCs w:val="24"/>
        </w:rPr>
      </w:pPr>
      <w:r>
        <w:rPr>
          <w:rFonts w:ascii="Times New Roman" w:hAnsi="Times New Roman" w:cs="Times New Roman"/>
          <w:spacing w:val="9"/>
          <w:sz w:val="24"/>
          <w:szCs w:val="24"/>
        </w:rPr>
        <w:t>本</w:t>
      </w:r>
      <w:r>
        <w:rPr>
          <w:rFonts w:ascii="Times New Roman" w:hAnsi="Times New Roman" w:cs="Times New Roman"/>
          <w:spacing w:val="8"/>
          <w:sz w:val="24"/>
          <w:szCs w:val="24"/>
        </w:rPr>
        <w:t>规范引用了下列文件：</w:t>
      </w:r>
    </w:p>
    <w:p w14:paraId="6D6CBD40">
      <w:pPr>
        <w:spacing w:before="160" w:line="228" w:lineRule="auto"/>
        <w:ind w:left="221" w:right="726" w:firstLine="482"/>
        <w:rPr>
          <w:rFonts w:ascii="Times New Roman" w:hAnsi="Times New Roman" w:cs="Times New Roman"/>
          <w:spacing w:val="8"/>
          <w:sz w:val="24"/>
          <w:szCs w:val="24"/>
          <w:lang w:eastAsia="zh-CN"/>
        </w:rPr>
      </w:pPr>
      <w:r>
        <w:rPr>
          <w:rFonts w:hint="eastAsia" w:ascii="Times New Roman" w:hAnsi="Times New Roman" w:cs="Times New Roman"/>
          <w:spacing w:val="8"/>
          <w:sz w:val="24"/>
          <w:szCs w:val="24"/>
          <w:lang w:eastAsia="zh-CN"/>
        </w:rPr>
        <w:t>碳排放权交易管理暂行条例（国务院令第775号）</w:t>
      </w:r>
    </w:p>
    <w:p w14:paraId="47208368">
      <w:pPr>
        <w:spacing w:before="160" w:line="228" w:lineRule="auto"/>
        <w:ind w:left="221" w:right="726" w:firstLine="482"/>
        <w:rPr>
          <w:rFonts w:ascii="Times New Roman" w:hAnsi="Times New Roman" w:cs="Times New Roman"/>
          <w:spacing w:val="8"/>
          <w:sz w:val="24"/>
          <w:szCs w:val="24"/>
          <w:lang w:eastAsia="zh-CN"/>
        </w:rPr>
      </w:pPr>
      <w:r>
        <w:rPr>
          <w:rFonts w:hint="eastAsia" w:ascii="Times New Roman" w:hAnsi="Times New Roman" w:cs="Times New Roman"/>
          <w:spacing w:val="8"/>
          <w:sz w:val="24"/>
          <w:szCs w:val="24"/>
          <w:lang w:eastAsia="zh-CN"/>
        </w:rPr>
        <w:t>JJF 1001 通用计量术语及定义</w:t>
      </w:r>
    </w:p>
    <w:p w14:paraId="167B8EF8">
      <w:pPr>
        <w:spacing w:before="160" w:line="228" w:lineRule="auto"/>
        <w:ind w:left="221" w:right="726" w:firstLine="482"/>
        <w:rPr>
          <w:rFonts w:ascii="Times New Roman" w:hAnsi="Times New Roman" w:cs="Times New Roman"/>
          <w:spacing w:val="4"/>
          <w:sz w:val="24"/>
          <w:szCs w:val="24"/>
          <w:lang w:eastAsia="zh-CN"/>
        </w:rPr>
      </w:pPr>
      <w:r>
        <w:rPr>
          <w:rFonts w:ascii="Times New Roman" w:hAnsi="Times New Roman" w:cs="Times New Roman"/>
          <w:sz w:val="24"/>
          <w:szCs w:val="24"/>
        </w:rPr>
        <w:t>JJF</w:t>
      </w:r>
      <w:r>
        <w:rPr>
          <w:rFonts w:ascii="Times New Roman" w:hAnsi="Times New Roman" w:cs="Times New Roman"/>
          <w:spacing w:val="8"/>
          <w:sz w:val="24"/>
          <w:szCs w:val="24"/>
        </w:rPr>
        <w:t xml:space="preserve"> 1356</w:t>
      </w:r>
      <w:r>
        <w:rPr>
          <w:rFonts w:hint="eastAsia" w:ascii="Times New Roman" w:hAnsi="Times New Roman" w:cs="Times New Roman"/>
          <w:spacing w:val="8"/>
          <w:sz w:val="24"/>
          <w:szCs w:val="24"/>
          <w:lang w:eastAsia="zh-CN"/>
        </w:rPr>
        <w:t xml:space="preserve"> </w:t>
      </w:r>
      <w:r>
        <w:rPr>
          <w:rFonts w:ascii="Times New Roman" w:hAnsi="Times New Roman" w:cs="Times New Roman"/>
          <w:spacing w:val="8"/>
          <w:sz w:val="24"/>
          <w:szCs w:val="24"/>
        </w:rPr>
        <w:t>重点用能单位能源计量审查规范</w:t>
      </w:r>
    </w:p>
    <w:p w14:paraId="3767F6EB">
      <w:pPr>
        <w:spacing w:before="160" w:line="228" w:lineRule="auto"/>
        <w:ind w:left="221" w:right="726" w:firstLine="482"/>
        <w:rPr>
          <w:rFonts w:ascii="Times New Roman" w:hAnsi="Times New Roman" w:cs="Times New Roman"/>
          <w:spacing w:val="4"/>
          <w:sz w:val="24"/>
          <w:szCs w:val="24"/>
          <w:lang w:eastAsia="zh-CN"/>
        </w:rPr>
      </w:pPr>
      <w:r>
        <w:rPr>
          <w:rFonts w:hint="eastAsia" w:ascii="Times New Roman" w:hAnsi="Times New Roman" w:cs="Times New Roman"/>
          <w:spacing w:val="4"/>
          <w:sz w:val="24"/>
          <w:szCs w:val="24"/>
          <w:lang w:eastAsia="zh-CN"/>
        </w:rPr>
        <w:t>GB 17167 用能单位能源计量器具配备和管理通则</w:t>
      </w:r>
    </w:p>
    <w:p w14:paraId="69E97DF0">
      <w:pPr>
        <w:kinsoku w:val="0"/>
        <w:overflowPunct w:val="0"/>
        <w:spacing w:before="160" w:after="0" w:line="360" w:lineRule="auto"/>
        <w:ind w:left="221" w:right="726" w:firstLine="482"/>
        <w:rPr>
          <w:rFonts w:ascii="Times New Roman" w:hAnsi="Times New Roman" w:cs="Times New Roman"/>
          <w:spacing w:val="8"/>
          <w:sz w:val="24"/>
          <w:szCs w:val="24"/>
        </w:rPr>
      </w:pPr>
      <w:r>
        <w:rPr>
          <w:rFonts w:ascii="Times New Roman" w:hAnsi="Times New Roman" w:cs="Times New Roman"/>
          <w:sz w:val="24"/>
          <w:szCs w:val="24"/>
        </w:rPr>
        <w:t>GB</w:t>
      </w:r>
      <w:r>
        <w:rPr>
          <w:rFonts w:hint="eastAsia" w:ascii="Times New Roman" w:hAnsi="Times New Roman" w:cs="Times New Roman"/>
          <w:spacing w:val="8"/>
          <w:sz w:val="24"/>
          <w:szCs w:val="24"/>
          <w:lang w:eastAsia="zh-CN"/>
        </w:rPr>
        <w:t xml:space="preserve">/T </w:t>
      </w:r>
      <w:r>
        <w:rPr>
          <w:rFonts w:ascii="Times New Roman" w:hAnsi="Times New Roman" w:cs="Times New Roman"/>
          <w:spacing w:val="8"/>
          <w:sz w:val="24"/>
          <w:szCs w:val="24"/>
        </w:rPr>
        <w:t>32150</w:t>
      </w:r>
      <w:r>
        <w:rPr>
          <w:rFonts w:hint="eastAsia" w:ascii="Times New Roman" w:hAnsi="Times New Roman" w:cs="Times New Roman"/>
          <w:spacing w:val="8"/>
          <w:sz w:val="24"/>
          <w:szCs w:val="24"/>
          <w:lang w:eastAsia="zh-CN"/>
        </w:rPr>
        <w:t xml:space="preserve"> </w:t>
      </w:r>
      <w:r>
        <w:rPr>
          <w:rFonts w:ascii="Times New Roman" w:hAnsi="Times New Roman" w:cs="Times New Roman"/>
          <w:spacing w:val="8"/>
          <w:sz w:val="24"/>
          <w:szCs w:val="24"/>
        </w:rPr>
        <w:t>工业企业温室气体排放核算和报告</w:t>
      </w:r>
      <w:r>
        <w:rPr>
          <w:rFonts w:hint="eastAsia" w:ascii="Times New Roman" w:hAnsi="Times New Roman" w:cs="Times New Roman"/>
          <w:spacing w:val="8"/>
          <w:sz w:val="24"/>
          <w:szCs w:val="24"/>
          <w:lang w:eastAsia="zh-CN"/>
        </w:rPr>
        <w:t>通</w:t>
      </w:r>
      <w:r>
        <w:rPr>
          <w:rFonts w:ascii="Times New Roman" w:hAnsi="Times New Roman" w:cs="Times New Roman"/>
          <w:spacing w:val="8"/>
          <w:sz w:val="24"/>
          <w:szCs w:val="24"/>
        </w:rPr>
        <w:t>则</w:t>
      </w:r>
    </w:p>
    <w:p w14:paraId="3B258B19">
      <w:pPr>
        <w:kinsoku w:val="0"/>
        <w:overflowPunct w:val="0"/>
        <w:spacing w:after="0" w:line="360" w:lineRule="auto"/>
        <w:ind w:left="221" w:right="726" w:firstLine="482"/>
        <w:rPr>
          <w:rFonts w:ascii="Times New Roman" w:hAnsi="Times New Roman" w:cs="Times New Roman"/>
          <w:spacing w:val="8"/>
          <w:sz w:val="24"/>
          <w:szCs w:val="24"/>
          <w:lang w:eastAsia="zh-CN"/>
        </w:rPr>
      </w:pPr>
      <w:r>
        <w:rPr>
          <w:rFonts w:hint="eastAsia" w:ascii="Times New Roman" w:hAnsi="Times New Roman" w:cs="Times New Roman"/>
          <w:spacing w:val="8"/>
          <w:sz w:val="24"/>
          <w:szCs w:val="24"/>
          <w:lang w:eastAsia="zh-CN"/>
        </w:rPr>
        <w:t>GB/T 32151.8 碳排放核算与报告要求 第8部分：水泥生产企业</w:t>
      </w:r>
    </w:p>
    <w:p w14:paraId="7ACF8975">
      <w:pPr>
        <w:pStyle w:val="5"/>
        <w:spacing w:before="160" w:line="360" w:lineRule="auto"/>
        <w:ind w:left="221" w:right="726" w:firstLine="482"/>
        <w:rPr>
          <w:lang w:eastAsia="zh-CN"/>
        </w:rPr>
      </w:pPr>
      <w:r>
        <w:rPr>
          <w:lang w:eastAsia="zh-CN"/>
        </w:rPr>
        <w:t>凡是注日期的引用文件,仅注日期的版本适用于本文件</w:t>
      </w:r>
      <w:r>
        <w:rPr>
          <w:rFonts w:hint="eastAsia"/>
          <w:lang w:eastAsia="zh-CN"/>
        </w:rPr>
        <w:t>；</w:t>
      </w:r>
      <w:r>
        <w:rPr>
          <w:lang w:eastAsia="zh-CN"/>
        </w:rPr>
        <w:t>凡是不注日期的引用文件, 其最新版本 (包括所有的修改单) 适用于本文件。</w:t>
      </w:r>
    </w:p>
    <w:p w14:paraId="455504E5">
      <w:pPr>
        <w:pStyle w:val="14"/>
        <w:numPr>
          <w:ilvl w:val="0"/>
          <w:numId w:val="1"/>
        </w:numPr>
        <w:tabs>
          <w:tab w:val="left" w:pos="580"/>
          <w:tab w:val="left" w:pos="581"/>
        </w:tabs>
        <w:spacing w:before="160" w:after="160" w:line="360" w:lineRule="auto"/>
        <w:ind w:left="584" w:hanging="363"/>
        <w:rPr>
          <w:rFonts w:ascii="黑体" w:eastAsia="黑体"/>
          <w:sz w:val="24"/>
        </w:rPr>
      </w:pPr>
      <w:bookmarkStart w:id="6" w:name="_bookmark3"/>
      <w:bookmarkEnd w:id="6"/>
      <w:bookmarkStart w:id="7" w:name="3__术语和计量单位"/>
      <w:bookmarkEnd w:id="7"/>
      <w:r>
        <w:rPr>
          <w:rFonts w:hint="eastAsia" w:ascii="黑体" w:eastAsia="黑体"/>
          <w:sz w:val="24"/>
        </w:rPr>
        <w:t>术语和</w:t>
      </w:r>
      <w:r>
        <w:rPr>
          <w:rFonts w:hint="eastAsia" w:ascii="黑体" w:eastAsia="黑体"/>
          <w:sz w:val="24"/>
          <w:lang w:eastAsia="zh-CN"/>
        </w:rPr>
        <w:t>定义</w:t>
      </w:r>
    </w:p>
    <w:p w14:paraId="33E7BD44">
      <w:pPr>
        <w:pStyle w:val="5"/>
        <w:spacing w:before="9" w:line="360" w:lineRule="auto"/>
        <w:ind w:left="221" w:right="726" w:firstLine="482"/>
        <w:rPr>
          <w:rFonts w:ascii="黑体"/>
          <w:sz w:val="18"/>
          <w:szCs w:val="18"/>
        </w:rPr>
      </w:pPr>
      <w:r>
        <w:rPr>
          <w:rFonts w:hint="eastAsia" w:ascii="Times New Roman" w:hAnsi="Times New Roman" w:cs="Times New Roman"/>
          <w:spacing w:val="8"/>
          <w:lang w:eastAsia="zh-CN"/>
        </w:rPr>
        <w:t>JJF 1001、JJF 1356、</w:t>
      </w:r>
      <w:r>
        <w:rPr>
          <w:rFonts w:ascii="Times New Roman" w:hAnsi="Times New Roman" w:cs="Times New Roman"/>
        </w:rPr>
        <w:t>GB</w:t>
      </w:r>
      <w:r>
        <w:rPr>
          <w:rFonts w:hint="eastAsia" w:ascii="Times New Roman" w:hAnsi="Times New Roman" w:cs="Times New Roman"/>
          <w:spacing w:val="8"/>
          <w:lang w:eastAsia="zh-CN"/>
        </w:rPr>
        <w:t xml:space="preserve">/T </w:t>
      </w:r>
      <w:r>
        <w:rPr>
          <w:rFonts w:ascii="Times New Roman" w:hAnsi="Times New Roman" w:cs="Times New Roman"/>
          <w:spacing w:val="8"/>
        </w:rPr>
        <w:t>32150</w:t>
      </w:r>
      <w:r>
        <w:rPr>
          <w:rFonts w:hint="eastAsia"/>
          <w:spacing w:val="10"/>
          <w:lang w:eastAsia="zh-CN"/>
        </w:rPr>
        <w:t>界定的</w:t>
      </w:r>
      <w:r>
        <w:rPr>
          <w:spacing w:val="10"/>
        </w:rPr>
        <w:t>以下术语和定义适用于本规范。</w:t>
      </w:r>
    </w:p>
    <w:p w14:paraId="63BB3E02">
      <w:pPr>
        <w:pStyle w:val="14"/>
        <w:numPr>
          <w:ilvl w:val="1"/>
          <w:numId w:val="1"/>
        </w:numPr>
        <w:tabs>
          <w:tab w:val="left" w:pos="760"/>
          <w:tab w:val="left" w:pos="761"/>
        </w:tabs>
        <w:spacing w:before="5"/>
        <w:ind w:hanging="541"/>
        <w:rPr>
          <w:spacing w:val="-1"/>
          <w:sz w:val="24"/>
        </w:rPr>
      </w:pPr>
      <w:bookmarkStart w:id="8" w:name="3.1__术语"/>
      <w:bookmarkEnd w:id="8"/>
      <w:bookmarkStart w:id="9" w:name="_bookmark4"/>
      <w:bookmarkEnd w:id="9"/>
      <w:r>
        <w:rPr>
          <w:rFonts w:hint="eastAsia"/>
          <w:spacing w:val="-1"/>
          <w:sz w:val="24"/>
          <w:lang w:eastAsia="zh-CN"/>
        </w:rPr>
        <w:t>碳排放</w:t>
      </w:r>
      <w:r>
        <w:rPr>
          <w:rFonts w:hint="eastAsia"/>
          <w:spacing w:val="-1"/>
          <w:sz w:val="24"/>
          <w:szCs w:val="24"/>
          <w:lang w:eastAsia="zh-CN"/>
        </w:rPr>
        <w:t xml:space="preserve"> </w:t>
      </w:r>
      <w:r>
        <w:rPr>
          <w:rFonts w:ascii="Times New Roman" w:hAnsi="Times New Roman" w:eastAsia="Times New Roman" w:cs="Times New Roman"/>
          <w:position w:val="1"/>
          <w:sz w:val="24"/>
          <w:szCs w:val="24"/>
        </w:rPr>
        <w:t>carbon</w:t>
      </w:r>
      <w:r>
        <w:rPr>
          <w:rFonts w:ascii="Times New Roman" w:hAnsi="Times New Roman" w:eastAsia="Times New Roman" w:cs="Times New Roman"/>
          <w:spacing w:val="4"/>
          <w:position w:val="1"/>
          <w:sz w:val="24"/>
          <w:szCs w:val="24"/>
        </w:rPr>
        <w:t xml:space="preserve"> </w:t>
      </w:r>
      <w:r>
        <w:rPr>
          <w:rFonts w:ascii="Times New Roman" w:hAnsi="Times New Roman" w:eastAsia="Times New Roman" w:cs="Times New Roman"/>
          <w:position w:val="1"/>
          <w:sz w:val="24"/>
          <w:szCs w:val="24"/>
        </w:rPr>
        <w:t>emission</w:t>
      </w:r>
    </w:p>
    <w:p w14:paraId="0477ADA6">
      <w:pPr>
        <w:spacing w:before="160" w:line="360" w:lineRule="auto"/>
        <w:ind w:left="221" w:right="726" w:firstLine="482"/>
        <w:rPr>
          <w:sz w:val="24"/>
          <w:szCs w:val="24"/>
          <w:lang w:eastAsia="zh-CN"/>
        </w:rPr>
      </w:pPr>
      <w:r>
        <w:rPr>
          <w:rFonts w:hint="eastAsia"/>
          <w:sz w:val="24"/>
          <w:szCs w:val="24"/>
          <w:lang w:eastAsia="zh-CN"/>
        </w:rPr>
        <w:t>在特定时段内向大气中释放温室气体的过程。</w:t>
      </w:r>
    </w:p>
    <w:p w14:paraId="6E4ECDA8">
      <w:pPr>
        <w:spacing w:before="160" w:line="360" w:lineRule="auto"/>
        <w:ind w:left="221" w:right="726" w:firstLine="482"/>
        <w:rPr>
          <w:rFonts w:ascii="Times New Roman" w:hAnsi="Times New Roman" w:cs="Times New Roman"/>
          <w:sz w:val="24"/>
          <w:szCs w:val="24"/>
          <w:lang w:eastAsia="zh-CN"/>
        </w:rPr>
      </w:pPr>
      <w:r>
        <w:rPr>
          <w:rFonts w:ascii="Times New Roman" w:hAnsi="Times New Roman" w:cs="Times New Roman"/>
          <w:sz w:val="24"/>
          <w:szCs w:val="24"/>
          <w:lang w:eastAsia="zh-CN"/>
        </w:rPr>
        <w:t>[</w:t>
      </w:r>
      <w:r>
        <w:rPr>
          <w:rFonts w:ascii="Times New Roman" w:hAnsi="Times New Roman" w:cs="Times New Roman"/>
          <w:spacing w:val="8"/>
          <w:sz w:val="24"/>
          <w:szCs w:val="24"/>
          <w:lang w:eastAsia="zh-CN"/>
        </w:rPr>
        <w:t>GB/T 32151.8-2023，</w:t>
      </w:r>
      <w:r>
        <w:rPr>
          <w:rFonts w:hint="eastAsia" w:ascii="Times New Roman" w:hAnsi="Times New Roman" w:cs="Times New Roman"/>
          <w:spacing w:val="8"/>
          <w:sz w:val="24"/>
          <w:szCs w:val="24"/>
          <w:lang w:eastAsia="zh-CN"/>
        </w:rPr>
        <w:t>定义</w:t>
      </w:r>
      <w:r>
        <w:rPr>
          <w:rFonts w:ascii="Times New Roman" w:hAnsi="Times New Roman" w:cs="Times New Roman"/>
          <w:spacing w:val="8"/>
          <w:sz w:val="24"/>
          <w:szCs w:val="24"/>
          <w:lang w:eastAsia="zh-CN"/>
        </w:rPr>
        <w:t>3.2</w:t>
      </w:r>
      <w:r>
        <w:rPr>
          <w:rFonts w:ascii="Times New Roman" w:hAnsi="Times New Roman" w:cs="Times New Roman"/>
          <w:sz w:val="24"/>
          <w:szCs w:val="24"/>
          <w:lang w:eastAsia="zh-CN"/>
        </w:rPr>
        <w:t>]</w:t>
      </w:r>
    </w:p>
    <w:p w14:paraId="31A6484F">
      <w:pPr>
        <w:pStyle w:val="14"/>
        <w:numPr>
          <w:ilvl w:val="1"/>
          <w:numId w:val="1"/>
        </w:numPr>
        <w:tabs>
          <w:tab w:val="left" w:pos="760"/>
          <w:tab w:val="left" w:pos="761"/>
        </w:tabs>
        <w:spacing w:before="5"/>
        <w:ind w:hanging="541"/>
        <w:rPr>
          <w:rFonts w:ascii="Times New Roman" w:hAnsi="Times New Roman" w:eastAsia="Times New Roman" w:cs="Times New Roman"/>
          <w:sz w:val="24"/>
          <w:szCs w:val="24"/>
        </w:rPr>
      </w:pPr>
      <w:r>
        <w:rPr>
          <w:rFonts w:hint="eastAsia" w:ascii="Times New Roman" w:hAnsi="Times New Roman" w:cs="Times New Roman"/>
          <w:sz w:val="24"/>
          <w:szCs w:val="24"/>
          <w:lang w:eastAsia="zh-CN"/>
        </w:rPr>
        <w:t>温室气体 greenhouse gas</w:t>
      </w:r>
    </w:p>
    <w:p w14:paraId="050309A8">
      <w:pPr>
        <w:spacing w:before="160" w:line="360" w:lineRule="auto"/>
        <w:ind w:left="221" w:right="726" w:firstLine="482"/>
        <w:rPr>
          <w:rFonts w:ascii="Times New Roman" w:hAnsi="Times New Roman" w:cs="Times New Roman"/>
          <w:spacing w:val="7"/>
          <w:position w:val="17"/>
          <w:sz w:val="24"/>
          <w:szCs w:val="24"/>
          <w:lang w:eastAsia="zh-CN"/>
        </w:rPr>
      </w:pPr>
      <w:r>
        <w:rPr>
          <w:rFonts w:hint="eastAsia" w:ascii="Times New Roman" w:hAnsi="Times New Roman" w:cs="Times New Roman"/>
          <w:spacing w:val="7"/>
          <w:position w:val="17"/>
          <w:sz w:val="24"/>
          <w:szCs w:val="24"/>
          <w:lang w:eastAsia="zh-CN"/>
        </w:rPr>
        <w:t xml:space="preserve">大气层中自然存在的和由于人类活动产生的能够吸收和散发由地球表面、大气层和云层所产生的、波长在红外光谱内的辐射的气态成份。 </w:t>
      </w:r>
    </w:p>
    <w:p w14:paraId="0D72CAAD">
      <w:pPr>
        <w:spacing w:line="360" w:lineRule="auto"/>
        <w:ind w:left="221" w:right="726" w:firstLine="482"/>
        <w:rPr>
          <w:rFonts w:ascii="Times New Roman" w:hAnsi="Times New Roman" w:cs="Times New Roman"/>
          <w:position w:val="17"/>
          <w:sz w:val="21"/>
          <w:szCs w:val="21"/>
          <w:lang w:eastAsia="zh-CN"/>
        </w:rPr>
      </w:pPr>
      <w:r>
        <w:rPr>
          <w:rFonts w:ascii="Times New Roman" w:hAnsi="Times New Roman" w:cs="Times New Roman"/>
          <w:sz w:val="21"/>
          <w:szCs w:val="21"/>
        </w:rPr>
        <w:t>注：如无特别说明，本</w:t>
      </w:r>
      <w:r>
        <w:rPr>
          <w:rFonts w:ascii="Times New Roman" w:hAnsi="Times New Roman" w:cs="Times New Roman"/>
          <w:sz w:val="21"/>
          <w:szCs w:val="21"/>
          <w:lang w:eastAsia="zh-CN"/>
        </w:rPr>
        <w:t>标准</w:t>
      </w:r>
      <w:r>
        <w:rPr>
          <w:rFonts w:ascii="Times New Roman" w:hAnsi="Times New Roman" w:cs="Times New Roman"/>
          <w:sz w:val="21"/>
          <w:szCs w:val="21"/>
        </w:rPr>
        <w:t>中的温室气体包括二氧化碳（CO</w:t>
      </w:r>
      <w:r>
        <w:rPr>
          <w:rFonts w:ascii="Times New Roman" w:hAnsi="Times New Roman" w:cs="Times New Roman"/>
          <w:sz w:val="21"/>
          <w:szCs w:val="21"/>
          <w:vertAlign w:val="subscript"/>
        </w:rPr>
        <w:t>2</w:t>
      </w:r>
      <w:r>
        <w:rPr>
          <w:rFonts w:ascii="Times New Roman" w:hAnsi="Times New Roman" w:cs="Times New Roman"/>
          <w:sz w:val="21"/>
          <w:szCs w:val="21"/>
        </w:rPr>
        <w:t>）、甲烷（CH</w:t>
      </w:r>
      <w:r>
        <w:rPr>
          <w:rFonts w:ascii="Times New Roman" w:hAnsi="Times New Roman" w:cs="Times New Roman"/>
          <w:sz w:val="21"/>
          <w:szCs w:val="21"/>
          <w:vertAlign w:val="subscript"/>
        </w:rPr>
        <w:t>4</w:t>
      </w:r>
      <w:r>
        <w:rPr>
          <w:rFonts w:ascii="Times New Roman" w:hAnsi="Times New Roman" w:cs="Times New Roman"/>
          <w:sz w:val="21"/>
          <w:szCs w:val="21"/>
        </w:rPr>
        <w:t>）、氧化亚氮（N</w:t>
      </w:r>
      <w:r>
        <w:rPr>
          <w:rFonts w:ascii="Times New Roman" w:hAnsi="Times New Roman" w:cs="Times New Roman"/>
          <w:sz w:val="21"/>
          <w:szCs w:val="21"/>
          <w:vertAlign w:val="subscript"/>
        </w:rPr>
        <w:t>2</w:t>
      </w:r>
      <w:r>
        <w:rPr>
          <w:rFonts w:ascii="Times New Roman" w:hAnsi="Times New Roman" w:cs="Times New Roman"/>
          <w:sz w:val="21"/>
          <w:szCs w:val="21"/>
        </w:rPr>
        <w:t>O）、氢氟碳化物（HFCs）、 全氟碳化物（PFCs）、六氟化硫（SF</w:t>
      </w:r>
      <w:r>
        <w:rPr>
          <w:rFonts w:ascii="Times New Roman" w:hAnsi="Times New Roman" w:cs="Times New Roman"/>
          <w:sz w:val="21"/>
          <w:szCs w:val="21"/>
          <w:vertAlign w:val="subscript"/>
        </w:rPr>
        <w:t>6</w:t>
      </w:r>
      <w:r>
        <w:rPr>
          <w:rFonts w:ascii="Times New Roman" w:hAnsi="Times New Roman" w:cs="Times New Roman"/>
          <w:sz w:val="21"/>
          <w:szCs w:val="21"/>
        </w:rPr>
        <w:t>）与三氟化氮（NF</w:t>
      </w:r>
      <w:r>
        <w:rPr>
          <w:rFonts w:ascii="Times New Roman" w:hAnsi="Times New Roman" w:cs="Times New Roman"/>
          <w:sz w:val="21"/>
          <w:szCs w:val="21"/>
          <w:vertAlign w:val="subscript"/>
        </w:rPr>
        <w:t>3</w:t>
      </w:r>
      <w:r>
        <w:rPr>
          <w:rFonts w:ascii="Times New Roman" w:hAnsi="Times New Roman" w:cs="Times New Roman"/>
          <w:sz w:val="21"/>
          <w:szCs w:val="21"/>
        </w:rPr>
        <w:t>）。</w:t>
      </w:r>
    </w:p>
    <w:p w14:paraId="342FF859">
      <w:pPr>
        <w:spacing w:before="160" w:line="360" w:lineRule="auto"/>
        <w:ind w:left="221" w:right="726" w:firstLine="482"/>
        <w:rPr>
          <w:rFonts w:ascii="Times New Roman" w:hAnsi="Times New Roman" w:cs="Times New Roman" w:eastAsiaTheme="minorEastAsia"/>
          <w:sz w:val="24"/>
          <w:szCs w:val="24"/>
        </w:rPr>
      </w:pPr>
      <w:r>
        <w:rPr>
          <w:rFonts w:ascii="Times New Roman" w:hAnsi="Times New Roman" w:cs="Times New Roman"/>
          <w:sz w:val="24"/>
          <w:szCs w:val="24"/>
          <w:lang w:eastAsia="zh-CN"/>
        </w:rPr>
        <w:t>[</w:t>
      </w:r>
      <w:r>
        <w:rPr>
          <w:rFonts w:ascii="Times New Roman" w:hAnsi="Times New Roman" w:cs="Times New Roman"/>
          <w:sz w:val="24"/>
          <w:szCs w:val="24"/>
        </w:rPr>
        <w:t>GB</w:t>
      </w:r>
      <w:r>
        <w:rPr>
          <w:rFonts w:ascii="Times New Roman" w:hAnsi="Times New Roman" w:cs="Times New Roman"/>
          <w:spacing w:val="8"/>
          <w:sz w:val="24"/>
          <w:szCs w:val="24"/>
          <w:lang w:eastAsia="zh-CN"/>
        </w:rPr>
        <w:t xml:space="preserve">/T </w:t>
      </w:r>
      <w:r>
        <w:rPr>
          <w:rFonts w:ascii="Times New Roman" w:hAnsi="Times New Roman" w:cs="Times New Roman"/>
          <w:spacing w:val="8"/>
          <w:sz w:val="24"/>
          <w:szCs w:val="24"/>
        </w:rPr>
        <w:t>32150</w:t>
      </w:r>
      <w:r>
        <w:rPr>
          <w:rFonts w:ascii="Times New Roman" w:hAnsi="Times New Roman" w:cs="Times New Roman"/>
          <w:spacing w:val="8"/>
          <w:sz w:val="24"/>
          <w:szCs w:val="24"/>
          <w:lang w:eastAsia="zh-CN"/>
        </w:rPr>
        <w:t>-2015，</w:t>
      </w:r>
      <w:r>
        <w:rPr>
          <w:rFonts w:hint="eastAsia" w:ascii="Times New Roman" w:hAnsi="Times New Roman" w:cs="Times New Roman"/>
          <w:spacing w:val="8"/>
          <w:sz w:val="24"/>
          <w:szCs w:val="24"/>
          <w:lang w:eastAsia="zh-CN"/>
        </w:rPr>
        <w:t>定义</w:t>
      </w:r>
      <w:r>
        <w:rPr>
          <w:rFonts w:ascii="Times New Roman" w:hAnsi="Times New Roman" w:cs="Times New Roman"/>
          <w:spacing w:val="8"/>
          <w:sz w:val="24"/>
          <w:szCs w:val="24"/>
          <w:lang w:eastAsia="zh-CN"/>
        </w:rPr>
        <w:t>3.1</w:t>
      </w:r>
      <w:r>
        <w:rPr>
          <w:rFonts w:ascii="Times New Roman" w:hAnsi="Times New Roman" w:cs="Times New Roman"/>
          <w:sz w:val="24"/>
          <w:szCs w:val="24"/>
          <w:lang w:eastAsia="zh-CN"/>
        </w:rPr>
        <w:t>]</w:t>
      </w:r>
    </w:p>
    <w:p w14:paraId="76DFDFC1">
      <w:pPr>
        <w:pStyle w:val="14"/>
        <w:numPr>
          <w:ilvl w:val="1"/>
          <w:numId w:val="1"/>
        </w:numPr>
        <w:tabs>
          <w:tab w:val="left" w:pos="760"/>
          <w:tab w:val="left" w:pos="761"/>
        </w:tabs>
        <w:spacing w:before="5"/>
        <w:ind w:hanging="541"/>
        <w:rPr>
          <w:rFonts w:ascii="Times New Roman" w:eastAsia="Times New Roman"/>
          <w:sz w:val="24"/>
          <w:szCs w:val="24"/>
        </w:rPr>
      </w:pPr>
      <w:bookmarkStart w:id="10" w:name="3.2__计量单位_unit_of_measurement"/>
      <w:bookmarkEnd w:id="10"/>
      <w:bookmarkStart w:id="11" w:name="_bookmark5"/>
      <w:bookmarkEnd w:id="11"/>
      <w:r>
        <w:rPr>
          <w:rFonts w:hint="eastAsia"/>
          <w:spacing w:val="-1"/>
          <w:sz w:val="24"/>
          <w:szCs w:val="24"/>
          <w:lang w:eastAsia="zh-CN"/>
        </w:rPr>
        <w:t>碳排放计量器具</w:t>
      </w:r>
      <w:r>
        <w:rPr>
          <w:rFonts w:hint="eastAsia"/>
          <w:spacing w:val="14"/>
          <w:sz w:val="24"/>
          <w:szCs w:val="24"/>
          <w:lang w:eastAsia="zh-CN"/>
        </w:rPr>
        <w:t xml:space="preserve"> </w:t>
      </w:r>
      <w:r>
        <w:rPr>
          <w:rFonts w:ascii="Times New Roman" w:hAnsi="Times New Roman" w:eastAsia="Times New Roman" w:cs="Times New Roman"/>
          <w:sz w:val="24"/>
          <w:szCs w:val="24"/>
        </w:rPr>
        <w:t>measuring</w:t>
      </w:r>
      <w:r>
        <w:rPr>
          <w:rFonts w:ascii="Times New Roman" w:hAnsi="Times New Roman" w:eastAsia="Times New Roman" w:cs="Times New Roman"/>
          <w:spacing w:val="14"/>
          <w:sz w:val="24"/>
          <w:szCs w:val="24"/>
        </w:rPr>
        <w:t xml:space="preserve"> </w:t>
      </w:r>
      <w:r>
        <w:rPr>
          <w:rFonts w:ascii="Times New Roman" w:hAnsi="Times New Roman" w:eastAsia="Times New Roman" w:cs="Times New Roman"/>
          <w:sz w:val="24"/>
          <w:szCs w:val="24"/>
        </w:rPr>
        <w:t>instrument</w:t>
      </w:r>
      <w:r>
        <w:rPr>
          <w:rFonts w:ascii="Times New Roman" w:hAnsi="Times New Roman" w:eastAsia="Times New Roman" w:cs="Times New Roman"/>
          <w:spacing w:val="14"/>
          <w:sz w:val="24"/>
          <w:szCs w:val="24"/>
        </w:rPr>
        <w:t xml:space="preserve"> </w:t>
      </w:r>
      <w:r>
        <w:rPr>
          <w:rFonts w:ascii="Times New Roman" w:hAnsi="Times New Roman" w:eastAsia="Times New Roman" w:cs="Times New Roman"/>
          <w:sz w:val="24"/>
          <w:szCs w:val="24"/>
        </w:rPr>
        <w:t>of</w:t>
      </w:r>
      <w:r>
        <w:rPr>
          <w:rFonts w:ascii="Times New Roman" w:hAnsi="Times New Roman" w:eastAsia="Times New Roman" w:cs="Times New Roman"/>
          <w:spacing w:val="14"/>
          <w:sz w:val="24"/>
          <w:szCs w:val="24"/>
        </w:rPr>
        <w:t xml:space="preserve"> </w:t>
      </w:r>
      <w:r>
        <w:rPr>
          <w:rFonts w:ascii="Times New Roman" w:hAnsi="Times New Roman" w:eastAsia="Times New Roman" w:cs="Times New Roman"/>
          <w:sz w:val="24"/>
          <w:szCs w:val="24"/>
        </w:rPr>
        <w:t>carbon</w:t>
      </w:r>
      <w:r>
        <w:rPr>
          <w:rFonts w:ascii="Times New Roman" w:hAnsi="Times New Roman" w:eastAsia="Times New Roman" w:cs="Times New Roman"/>
          <w:spacing w:val="14"/>
          <w:sz w:val="24"/>
          <w:szCs w:val="24"/>
        </w:rPr>
        <w:t xml:space="preserve"> </w:t>
      </w:r>
      <w:r>
        <w:rPr>
          <w:rFonts w:ascii="Times New Roman" w:hAnsi="Times New Roman" w:eastAsia="Times New Roman" w:cs="Times New Roman"/>
          <w:sz w:val="24"/>
          <w:szCs w:val="24"/>
        </w:rPr>
        <w:t>emission</w:t>
      </w:r>
    </w:p>
    <w:p w14:paraId="6F2FF5B4">
      <w:pPr>
        <w:spacing w:before="160" w:line="360" w:lineRule="auto"/>
        <w:ind w:left="221" w:right="726" w:firstLine="482"/>
        <w:rPr>
          <w:spacing w:val="7"/>
          <w:sz w:val="24"/>
          <w:szCs w:val="24"/>
        </w:rPr>
      </w:pPr>
      <w:r>
        <w:rPr>
          <w:spacing w:val="7"/>
          <w:sz w:val="24"/>
          <w:szCs w:val="24"/>
        </w:rPr>
        <w:t>直接或间接用于碳排放监测、核算 (核查) 的计量器具。</w:t>
      </w:r>
    </w:p>
    <w:p w14:paraId="69AABD7C">
      <w:pPr>
        <w:pStyle w:val="14"/>
        <w:numPr>
          <w:ilvl w:val="1"/>
          <w:numId w:val="1"/>
        </w:numPr>
        <w:tabs>
          <w:tab w:val="left" w:pos="760"/>
          <w:tab w:val="left" w:pos="761"/>
        </w:tabs>
        <w:spacing w:before="5"/>
        <w:ind w:hanging="541"/>
        <w:rPr>
          <w:rFonts w:ascii="Times New Roman" w:hAnsi="Times New Roman" w:eastAsia="Times New Roman" w:cs="Times New Roman"/>
          <w:sz w:val="24"/>
          <w:szCs w:val="24"/>
        </w:rPr>
      </w:pPr>
      <w:r>
        <w:rPr>
          <w:sz w:val="24"/>
          <w:szCs w:val="24"/>
        </w:rPr>
        <w:t>碳排放直接测量计量器具 (系统)</w:t>
      </w:r>
      <w:r>
        <w:rPr>
          <w:rFonts w:hint="eastAsia"/>
          <w:sz w:val="24"/>
          <w:szCs w:val="24"/>
          <w:lang w:eastAsia="zh-CN"/>
        </w:rPr>
        <w:t xml:space="preserve"> </w:t>
      </w:r>
      <w:r>
        <w:rPr>
          <w:rFonts w:ascii="Times New Roman" w:hAnsi="Times New Roman" w:eastAsia="Times New Roman" w:cs="Times New Roman"/>
          <w:sz w:val="24"/>
          <w:szCs w:val="24"/>
        </w:rPr>
        <w:t>direct measuring instrument of carbon emission</w:t>
      </w:r>
    </w:p>
    <w:p w14:paraId="455FA37E">
      <w:pPr>
        <w:spacing w:before="160" w:line="360" w:lineRule="auto"/>
        <w:ind w:left="221" w:right="726" w:firstLine="482"/>
        <w:rPr>
          <w:sz w:val="24"/>
          <w:szCs w:val="24"/>
        </w:rPr>
      </w:pPr>
      <w:r>
        <w:rPr>
          <w:sz w:val="24"/>
          <w:szCs w:val="24"/>
        </w:rPr>
        <w:t>直接测量碳排放结果的计量器具 (系统) 。</w:t>
      </w:r>
    </w:p>
    <w:p w14:paraId="086E8F55">
      <w:pPr>
        <w:pStyle w:val="14"/>
        <w:numPr>
          <w:ilvl w:val="1"/>
          <w:numId w:val="1"/>
        </w:numPr>
        <w:tabs>
          <w:tab w:val="left" w:pos="760"/>
          <w:tab w:val="left" w:pos="761"/>
        </w:tabs>
        <w:spacing w:before="5"/>
        <w:ind w:hanging="541"/>
        <w:rPr>
          <w:rFonts w:ascii="Times New Roman" w:hAnsi="Times New Roman" w:eastAsia="Times New Roman" w:cs="Times New Roman"/>
          <w:sz w:val="24"/>
          <w:szCs w:val="24"/>
        </w:rPr>
      </w:pPr>
      <w:r>
        <w:rPr>
          <w:sz w:val="24"/>
          <w:szCs w:val="24"/>
        </w:rPr>
        <w:t xml:space="preserve">碳排放量燃料端核算计量器具  </w:t>
      </w:r>
      <w:r>
        <w:rPr>
          <w:rFonts w:ascii="Times New Roman" w:hAnsi="Times New Roman" w:eastAsia="Times New Roman" w:cs="Times New Roman"/>
          <w:sz w:val="24"/>
          <w:szCs w:val="24"/>
        </w:rPr>
        <w:t>fuel based calculation measuring instrument of carbon emission</w:t>
      </w:r>
    </w:p>
    <w:p w14:paraId="612FA489">
      <w:pPr>
        <w:spacing w:before="160" w:line="360" w:lineRule="auto"/>
        <w:ind w:left="215" w:right="726" w:firstLine="482"/>
        <w:rPr>
          <w:sz w:val="24"/>
          <w:szCs w:val="24"/>
        </w:rPr>
      </w:pPr>
      <w:r>
        <w:rPr>
          <w:sz w:val="24"/>
          <w:szCs w:val="24"/>
        </w:rPr>
        <w:t>通过测量，为碳排放核算 (核查) 提供关键或辅助数据的计量器具。</w:t>
      </w:r>
    </w:p>
    <w:p w14:paraId="06EB04DC">
      <w:pPr>
        <w:pStyle w:val="14"/>
        <w:numPr>
          <w:ilvl w:val="1"/>
          <w:numId w:val="1"/>
        </w:numPr>
        <w:tabs>
          <w:tab w:val="left" w:pos="760"/>
          <w:tab w:val="left" w:pos="761"/>
        </w:tabs>
        <w:spacing w:before="5"/>
        <w:ind w:hanging="541"/>
        <w:rPr>
          <w:rFonts w:ascii="Times New Roman" w:hAnsi="Times New Roman" w:cs="Times New Roman" w:eastAsiaTheme="minorEastAsia"/>
          <w:sz w:val="24"/>
          <w:szCs w:val="24"/>
        </w:rPr>
      </w:pPr>
      <w:r>
        <w:rPr>
          <w:rFonts w:ascii="Times New Roman" w:hAnsi="Times New Roman" w:cs="Times New Roman" w:eastAsiaTheme="minorEastAsia"/>
          <w:sz w:val="24"/>
          <w:szCs w:val="24"/>
        </w:rPr>
        <w:t>碳排放计量器具配备率  equipping rate of measuring instrument of carbon emission</w:t>
      </w:r>
    </w:p>
    <w:p w14:paraId="32339432">
      <w:pPr>
        <w:spacing w:before="160" w:line="360" w:lineRule="auto"/>
        <w:ind w:left="221" w:right="726" w:firstLine="482"/>
        <w:rPr>
          <w:rFonts w:ascii="Times New Roman" w:hAnsi="Times New Roman" w:cs="Times New Roman" w:eastAsiaTheme="minorEastAsia"/>
          <w:sz w:val="24"/>
          <w:szCs w:val="24"/>
        </w:rPr>
      </w:pPr>
      <w:r>
        <w:rPr>
          <w:rFonts w:ascii="Times New Roman" w:hAnsi="Times New Roman" w:cs="Times New Roman" w:eastAsiaTheme="minorEastAsia"/>
          <w:sz w:val="24"/>
          <w:szCs w:val="24"/>
        </w:rPr>
        <w:t>碳排放计量器具实际安装的数量占规定需要量的百分数。</w:t>
      </w:r>
    </w:p>
    <w:p w14:paraId="532AC4FC">
      <w:pPr>
        <w:pStyle w:val="14"/>
        <w:numPr>
          <w:ilvl w:val="1"/>
          <w:numId w:val="1"/>
        </w:numPr>
        <w:tabs>
          <w:tab w:val="left" w:pos="760"/>
          <w:tab w:val="left" w:pos="761"/>
        </w:tabs>
        <w:spacing w:before="5"/>
        <w:ind w:hanging="541"/>
        <w:rPr>
          <w:rFonts w:ascii="Times New Roman" w:hAnsi="Times New Roman" w:cs="Times New Roman" w:eastAsiaTheme="minorEastAsia"/>
          <w:sz w:val="24"/>
          <w:szCs w:val="24"/>
        </w:rPr>
      </w:pPr>
      <w:r>
        <w:rPr>
          <w:rFonts w:ascii="Times New Roman" w:hAnsi="Times New Roman" w:cs="Times New Roman" w:eastAsiaTheme="minorEastAsia"/>
          <w:sz w:val="24"/>
          <w:szCs w:val="24"/>
        </w:rPr>
        <w:t>活动数据  activity data</w:t>
      </w:r>
    </w:p>
    <w:p w14:paraId="0A99ECE5">
      <w:pPr>
        <w:spacing w:before="160" w:line="360" w:lineRule="auto"/>
        <w:ind w:left="221" w:right="726" w:firstLine="482"/>
        <w:rPr>
          <w:rFonts w:ascii="Times New Roman" w:hAnsi="Times New Roman" w:cs="Times New Roman" w:eastAsiaTheme="minorEastAsia"/>
          <w:sz w:val="24"/>
          <w:szCs w:val="24"/>
        </w:rPr>
      </w:pPr>
      <w:r>
        <w:rPr>
          <w:rFonts w:ascii="Times New Roman" w:hAnsi="Times New Roman" w:cs="Times New Roman" w:eastAsiaTheme="minorEastAsia"/>
          <w:sz w:val="24"/>
          <w:szCs w:val="24"/>
        </w:rPr>
        <w:t>导致温室气体排放的生产或消费活动量的表征值。</w:t>
      </w:r>
    </w:p>
    <w:p w14:paraId="7F6735DE">
      <w:pPr>
        <w:spacing w:before="160" w:line="360" w:lineRule="auto"/>
        <w:ind w:left="221" w:right="726" w:firstLine="482"/>
        <w:rPr>
          <w:rFonts w:ascii="Times New Roman" w:hAnsi="Times New Roman" w:cs="Times New Roman" w:eastAsiaTheme="minorEastAsia"/>
          <w:sz w:val="24"/>
          <w:szCs w:val="24"/>
        </w:rPr>
      </w:pPr>
      <w:r>
        <w:rPr>
          <w:rFonts w:ascii="Times New Roman" w:hAnsi="Times New Roman" w:cs="Times New Roman"/>
          <w:sz w:val="24"/>
          <w:szCs w:val="24"/>
          <w:lang w:eastAsia="zh-CN"/>
        </w:rPr>
        <w:t>[</w:t>
      </w:r>
      <w:r>
        <w:rPr>
          <w:rFonts w:ascii="Times New Roman" w:hAnsi="Times New Roman" w:cs="Times New Roman"/>
          <w:sz w:val="24"/>
          <w:szCs w:val="24"/>
        </w:rPr>
        <w:t>GB</w:t>
      </w:r>
      <w:r>
        <w:rPr>
          <w:rFonts w:hint="eastAsia" w:ascii="Times New Roman" w:hAnsi="Times New Roman" w:cs="Times New Roman"/>
          <w:spacing w:val="8"/>
          <w:sz w:val="24"/>
          <w:szCs w:val="24"/>
          <w:lang w:eastAsia="zh-CN"/>
        </w:rPr>
        <w:t xml:space="preserve">/T </w:t>
      </w:r>
      <w:r>
        <w:rPr>
          <w:rFonts w:ascii="Times New Roman" w:hAnsi="Times New Roman" w:cs="Times New Roman"/>
          <w:spacing w:val="8"/>
          <w:sz w:val="24"/>
          <w:szCs w:val="24"/>
        </w:rPr>
        <w:t>32150</w:t>
      </w:r>
      <w:r>
        <w:rPr>
          <w:rFonts w:hint="eastAsia" w:ascii="Times New Roman" w:hAnsi="Times New Roman" w:cs="Times New Roman"/>
          <w:spacing w:val="8"/>
          <w:sz w:val="24"/>
          <w:szCs w:val="24"/>
          <w:lang w:eastAsia="zh-CN"/>
        </w:rPr>
        <w:t>-2015，定义3.12</w:t>
      </w:r>
      <w:r>
        <w:rPr>
          <w:rFonts w:ascii="Times New Roman" w:hAnsi="Times New Roman" w:cs="Times New Roman"/>
          <w:sz w:val="24"/>
          <w:szCs w:val="24"/>
          <w:lang w:eastAsia="zh-CN"/>
        </w:rPr>
        <w:t>]</w:t>
      </w:r>
    </w:p>
    <w:p w14:paraId="34B6406B">
      <w:pPr>
        <w:spacing w:before="160" w:line="360" w:lineRule="auto"/>
        <w:ind w:left="221" w:right="726" w:firstLine="482"/>
        <w:rPr>
          <w:rFonts w:ascii="Times New Roman" w:hAnsi="Times New Roman" w:cs="Times New Roman" w:eastAsiaTheme="minorEastAsia"/>
          <w:sz w:val="21"/>
          <w:szCs w:val="21"/>
        </w:rPr>
      </w:pPr>
      <w:r>
        <w:rPr>
          <w:rFonts w:ascii="Times New Roman" w:hAnsi="Times New Roman" w:cs="Times New Roman" w:eastAsiaTheme="minorEastAsia"/>
          <w:sz w:val="21"/>
          <w:szCs w:val="21"/>
        </w:rPr>
        <w:t>注：例如各种化石燃料的消耗量、原材料的使用量、购入的电量</w:t>
      </w:r>
      <w:r>
        <w:rPr>
          <w:rFonts w:hint="eastAsia" w:ascii="Times New Roman" w:hAnsi="Times New Roman" w:cs="Times New Roman" w:eastAsiaTheme="minorEastAsia"/>
          <w:sz w:val="21"/>
          <w:szCs w:val="21"/>
          <w:lang w:eastAsia="zh-CN"/>
        </w:rPr>
        <w:t>、购入的热量</w:t>
      </w:r>
      <w:r>
        <w:rPr>
          <w:rFonts w:ascii="Times New Roman" w:hAnsi="Times New Roman" w:cs="Times New Roman" w:eastAsiaTheme="minorEastAsia"/>
          <w:sz w:val="21"/>
          <w:szCs w:val="21"/>
        </w:rPr>
        <w:t>等。</w:t>
      </w:r>
    </w:p>
    <w:p w14:paraId="5410F9B4">
      <w:pPr>
        <w:pStyle w:val="14"/>
        <w:numPr>
          <w:ilvl w:val="1"/>
          <w:numId w:val="1"/>
        </w:numPr>
        <w:tabs>
          <w:tab w:val="left" w:pos="760"/>
          <w:tab w:val="left" w:pos="761"/>
        </w:tabs>
        <w:spacing w:before="5"/>
        <w:ind w:hanging="541"/>
        <w:rPr>
          <w:rFonts w:ascii="Times New Roman" w:hAnsi="Times New Roman" w:cs="Times New Roman" w:eastAsiaTheme="minorEastAsia"/>
          <w:sz w:val="24"/>
          <w:szCs w:val="24"/>
        </w:rPr>
      </w:pPr>
      <w:r>
        <w:rPr>
          <w:rFonts w:ascii="Times New Roman" w:hAnsi="Times New Roman" w:cs="Times New Roman" w:eastAsiaTheme="minorEastAsia"/>
          <w:sz w:val="24"/>
          <w:szCs w:val="24"/>
        </w:rPr>
        <w:t>排放因子  emission factor</w:t>
      </w:r>
    </w:p>
    <w:p w14:paraId="170584FD">
      <w:pPr>
        <w:spacing w:before="160" w:line="360" w:lineRule="auto"/>
        <w:ind w:left="221" w:right="726" w:firstLine="482"/>
        <w:rPr>
          <w:rFonts w:ascii="Times New Roman" w:hAnsi="Times New Roman" w:cs="Times New Roman" w:eastAsiaTheme="minorEastAsia"/>
          <w:sz w:val="24"/>
          <w:szCs w:val="24"/>
        </w:rPr>
      </w:pPr>
      <w:r>
        <w:rPr>
          <w:rFonts w:ascii="Times New Roman" w:hAnsi="Times New Roman" w:cs="Times New Roman" w:eastAsiaTheme="minorEastAsia"/>
          <w:sz w:val="24"/>
          <w:szCs w:val="24"/>
        </w:rPr>
        <w:t>表征单位生产或消费活动量的温室气体排放的系数。</w:t>
      </w:r>
    </w:p>
    <w:p w14:paraId="203F38B9">
      <w:pPr>
        <w:spacing w:before="160" w:line="360" w:lineRule="auto"/>
        <w:ind w:left="221" w:right="726" w:firstLine="482"/>
        <w:rPr>
          <w:rFonts w:ascii="Times New Roman" w:hAnsi="Times New Roman" w:cs="Times New Roman" w:eastAsiaTheme="minorEastAsia"/>
          <w:sz w:val="24"/>
          <w:szCs w:val="24"/>
        </w:rPr>
      </w:pPr>
      <w:r>
        <w:rPr>
          <w:rFonts w:ascii="Times New Roman" w:hAnsi="Times New Roman" w:cs="Times New Roman"/>
          <w:sz w:val="24"/>
          <w:szCs w:val="24"/>
          <w:lang w:eastAsia="zh-CN"/>
        </w:rPr>
        <w:t>[</w:t>
      </w:r>
      <w:r>
        <w:rPr>
          <w:rFonts w:ascii="Times New Roman" w:hAnsi="Times New Roman" w:cs="Times New Roman"/>
          <w:sz w:val="24"/>
          <w:szCs w:val="24"/>
        </w:rPr>
        <w:t>GB</w:t>
      </w:r>
      <w:r>
        <w:rPr>
          <w:rFonts w:hint="eastAsia" w:ascii="Times New Roman" w:hAnsi="Times New Roman" w:cs="Times New Roman"/>
          <w:spacing w:val="8"/>
          <w:sz w:val="24"/>
          <w:szCs w:val="24"/>
          <w:lang w:eastAsia="zh-CN"/>
        </w:rPr>
        <w:t xml:space="preserve">/T </w:t>
      </w:r>
      <w:r>
        <w:rPr>
          <w:rFonts w:ascii="Times New Roman" w:hAnsi="Times New Roman" w:cs="Times New Roman"/>
          <w:spacing w:val="8"/>
          <w:sz w:val="24"/>
          <w:szCs w:val="24"/>
        </w:rPr>
        <w:t>32150</w:t>
      </w:r>
      <w:r>
        <w:rPr>
          <w:rFonts w:hint="eastAsia" w:ascii="Times New Roman" w:hAnsi="Times New Roman" w:cs="Times New Roman"/>
          <w:spacing w:val="8"/>
          <w:sz w:val="24"/>
          <w:szCs w:val="24"/>
          <w:lang w:eastAsia="zh-CN"/>
        </w:rPr>
        <w:t>-2015，定义3.13</w:t>
      </w:r>
      <w:r>
        <w:rPr>
          <w:rFonts w:hint="eastAsia" w:ascii="Times New Roman" w:hAnsi="Times New Roman" w:cs="Times New Roman" w:eastAsiaTheme="minorEastAsia"/>
          <w:sz w:val="24"/>
          <w:szCs w:val="24"/>
          <w:lang w:eastAsia="zh-CN"/>
        </w:rPr>
        <w:t>]</w:t>
      </w:r>
    </w:p>
    <w:p w14:paraId="1026CE10">
      <w:pPr>
        <w:pStyle w:val="14"/>
        <w:numPr>
          <w:ilvl w:val="1"/>
          <w:numId w:val="1"/>
        </w:numPr>
        <w:tabs>
          <w:tab w:val="left" w:pos="760"/>
          <w:tab w:val="left" w:pos="761"/>
        </w:tabs>
        <w:spacing w:before="5"/>
        <w:ind w:hanging="541"/>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碳源流  carbon source stream </w:t>
      </w:r>
    </w:p>
    <w:p w14:paraId="47E0CF96">
      <w:pPr>
        <w:spacing w:before="160" w:line="360" w:lineRule="auto"/>
        <w:ind w:left="221" w:right="726" w:firstLine="482"/>
        <w:rPr>
          <w:rFonts w:ascii="Times New Roman" w:hAnsi="Times New Roman" w:cs="Times New Roman" w:eastAsiaTheme="minorEastAsia"/>
          <w:sz w:val="24"/>
          <w:szCs w:val="24"/>
        </w:rPr>
      </w:pPr>
      <w:r>
        <w:rPr>
          <w:rFonts w:ascii="Times New Roman" w:hAnsi="Times New Roman" w:cs="Times New Roman" w:eastAsiaTheme="minorEastAsia"/>
          <w:sz w:val="24"/>
          <w:szCs w:val="24"/>
        </w:rPr>
        <w:t>分为两种类型：</w:t>
      </w:r>
    </w:p>
    <w:p w14:paraId="082B8FF5">
      <w:pPr>
        <w:spacing w:before="80" w:after="0" w:line="360" w:lineRule="auto"/>
        <w:ind w:left="221" w:right="726" w:firstLine="482"/>
        <w:rPr>
          <w:rFonts w:ascii="Times New Roman" w:hAnsi="Times New Roman" w:cs="Times New Roman" w:eastAsiaTheme="minorEastAsia"/>
          <w:sz w:val="24"/>
          <w:szCs w:val="24"/>
        </w:rPr>
      </w:pPr>
      <w:r>
        <w:rPr>
          <w:rFonts w:ascii="Times New Roman" w:hAnsi="Times New Roman" w:cs="Times New Roman" w:eastAsiaTheme="minorEastAsia"/>
          <w:sz w:val="24"/>
          <w:szCs w:val="24"/>
        </w:rPr>
        <w:t>a ) 在使用排放因子法时</w:t>
      </w:r>
      <w:r>
        <w:rPr>
          <w:rFonts w:hint="eastAsia" w:ascii="Times New Roman" w:hAnsi="Times New Roman" w:cs="Times New Roman" w:eastAsiaTheme="minorEastAsia"/>
          <w:sz w:val="24"/>
          <w:szCs w:val="24"/>
          <w:lang w:eastAsia="zh-CN"/>
        </w:rPr>
        <w:t>，</w:t>
      </w:r>
      <w:r>
        <w:rPr>
          <w:rFonts w:ascii="Times New Roman" w:hAnsi="Times New Roman" w:cs="Times New Roman" w:eastAsiaTheme="minorEastAsia"/>
          <w:sz w:val="24"/>
          <w:szCs w:val="24"/>
        </w:rPr>
        <w:t>由于其消耗或生产而在一个或多个排放源产生二氧化碳排放的特定燃料类型、原材料或产品；</w:t>
      </w:r>
    </w:p>
    <w:p w14:paraId="110031C6">
      <w:pPr>
        <w:spacing w:before="80" w:line="360" w:lineRule="auto"/>
        <w:ind w:left="221" w:right="726" w:firstLine="482"/>
        <w:rPr>
          <w:rFonts w:ascii="Times New Roman" w:hAnsi="Times New Roman" w:cs="Times New Roman" w:eastAsiaTheme="minorEastAsia"/>
          <w:sz w:val="24"/>
          <w:szCs w:val="24"/>
        </w:rPr>
      </w:pPr>
      <w:r>
        <w:rPr>
          <w:rFonts w:ascii="Times New Roman" w:hAnsi="Times New Roman" w:cs="Times New Roman" w:eastAsiaTheme="minorEastAsia"/>
          <w:sz w:val="24"/>
          <w:szCs w:val="24"/>
        </w:rPr>
        <w:t>b) 使用质量平衡法计算二氧化碳排放量时包括的含碳特定燃料类型、原材料或产 品。</w:t>
      </w:r>
    </w:p>
    <w:p w14:paraId="110C27B6">
      <w:pPr>
        <w:pStyle w:val="14"/>
        <w:numPr>
          <w:ilvl w:val="1"/>
          <w:numId w:val="1"/>
        </w:numPr>
        <w:tabs>
          <w:tab w:val="left" w:pos="760"/>
          <w:tab w:val="left" w:pos="761"/>
        </w:tabs>
        <w:spacing w:before="5"/>
        <w:ind w:hanging="541"/>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主要碳源流 major carbon source stream     </w:t>
      </w:r>
    </w:p>
    <w:p w14:paraId="1917A3DF">
      <w:pPr>
        <w:spacing w:before="160" w:line="360" w:lineRule="auto"/>
        <w:ind w:left="221" w:right="726" w:firstLine="482"/>
        <w:rPr>
          <w:rFonts w:ascii="Times New Roman" w:hAnsi="Times New Roman" w:cs="Times New Roman" w:eastAsiaTheme="minorEastAsia"/>
          <w:sz w:val="24"/>
          <w:szCs w:val="24"/>
        </w:rPr>
      </w:pPr>
      <w:r>
        <w:rPr>
          <w:rFonts w:ascii="Times New Roman" w:hAnsi="Times New Roman" w:cs="Times New Roman" w:eastAsiaTheme="minorEastAsia"/>
          <w:sz w:val="24"/>
          <w:szCs w:val="24"/>
        </w:rPr>
        <w:t>除次要碳源流和微量碳源流之外的源流。</w:t>
      </w:r>
    </w:p>
    <w:p w14:paraId="534CE485">
      <w:pPr>
        <w:pStyle w:val="14"/>
        <w:numPr>
          <w:ilvl w:val="1"/>
          <w:numId w:val="1"/>
        </w:numPr>
        <w:tabs>
          <w:tab w:val="left" w:pos="760"/>
          <w:tab w:val="left" w:pos="761"/>
        </w:tabs>
        <w:spacing w:before="5"/>
        <w:ind w:hanging="541"/>
        <w:rPr>
          <w:rFonts w:ascii="Times New Roman" w:hAnsi="Times New Roman" w:cs="Times New Roman" w:eastAsiaTheme="minorEastAsia"/>
          <w:sz w:val="24"/>
          <w:szCs w:val="24"/>
        </w:rPr>
      </w:pPr>
      <w:r>
        <w:rPr>
          <w:rFonts w:ascii="Times New Roman" w:hAnsi="Times New Roman" w:cs="Times New Roman" w:eastAsiaTheme="minorEastAsia"/>
          <w:sz w:val="24"/>
          <w:szCs w:val="24"/>
        </w:rPr>
        <w:t>次要碳源流  minor carbon source stream</w:t>
      </w:r>
    </w:p>
    <w:p w14:paraId="6A8EB37C">
      <w:pPr>
        <w:spacing w:before="160" w:line="360" w:lineRule="auto"/>
        <w:ind w:left="221" w:right="726" w:firstLine="482"/>
        <w:rPr>
          <w:rFonts w:ascii="Times New Roman" w:hAnsi="Times New Roman" w:cs="Times New Roman" w:eastAsiaTheme="minorEastAsia"/>
          <w:sz w:val="24"/>
          <w:szCs w:val="24"/>
        </w:rPr>
      </w:pPr>
      <w:r>
        <w:rPr>
          <w:rFonts w:ascii="Times New Roman" w:hAnsi="Times New Roman" w:cs="Times New Roman" w:eastAsiaTheme="minorEastAsia"/>
          <w:sz w:val="24"/>
          <w:szCs w:val="24"/>
        </w:rPr>
        <w:t>企业</w:t>
      </w:r>
      <w:r>
        <w:rPr>
          <w:rFonts w:hint="eastAsia" w:ascii="Times New Roman" w:hAnsi="Times New Roman" w:cs="Times New Roman" w:eastAsiaTheme="minorEastAsia"/>
          <w:sz w:val="24"/>
          <w:szCs w:val="24"/>
          <w:lang w:eastAsia="zh-CN"/>
        </w:rPr>
        <w:t>年度</w:t>
      </w:r>
      <w:r>
        <w:rPr>
          <w:rFonts w:ascii="Times New Roman" w:hAnsi="Times New Roman" w:cs="Times New Roman" w:eastAsiaTheme="minorEastAsia"/>
          <w:sz w:val="24"/>
          <w:szCs w:val="24"/>
        </w:rPr>
        <w:t>化石二氧化碳</w:t>
      </w:r>
      <w:r>
        <w:rPr>
          <w:rFonts w:hint="eastAsia" w:ascii="Times New Roman" w:hAnsi="Times New Roman" w:cs="Times New Roman" w:eastAsiaTheme="minorEastAsia"/>
          <w:sz w:val="24"/>
          <w:szCs w:val="24"/>
          <w:lang w:eastAsia="zh-CN"/>
        </w:rPr>
        <w:t>排放</w:t>
      </w:r>
      <w:r>
        <w:rPr>
          <w:rFonts w:ascii="Times New Roman" w:hAnsi="Times New Roman" w:cs="Times New Roman" w:eastAsiaTheme="minorEastAsia"/>
          <w:sz w:val="24"/>
          <w:szCs w:val="24"/>
        </w:rPr>
        <w:t>当量总计少于 5000 吨</w:t>
      </w:r>
      <w:r>
        <w:rPr>
          <w:rFonts w:hint="eastAsia" w:ascii="Times New Roman" w:hAnsi="Times New Roman" w:cs="Times New Roman" w:eastAsiaTheme="minorEastAsia"/>
          <w:sz w:val="24"/>
          <w:szCs w:val="24"/>
          <w:lang w:eastAsia="zh-CN"/>
        </w:rPr>
        <w:t>，</w:t>
      </w:r>
      <w:r>
        <w:rPr>
          <w:rFonts w:ascii="Times New Roman" w:hAnsi="Times New Roman" w:cs="Times New Roman" w:eastAsiaTheme="minorEastAsia"/>
          <w:sz w:val="24"/>
          <w:szCs w:val="24"/>
        </w:rPr>
        <w:t>或低于年度总排放量 10％</w:t>
      </w:r>
      <w:r>
        <w:rPr>
          <w:rFonts w:hint="eastAsia" w:ascii="Times New Roman" w:hAnsi="Times New Roman" w:cs="Times New Roman" w:eastAsiaTheme="minorEastAsia"/>
          <w:sz w:val="24"/>
          <w:szCs w:val="24"/>
          <w:lang w:eastAsia="zh-CN"/>
        </w:rPr>
        <w:t>且不超过</w:t>
      </w:r>
      <w:r>
        <w:rPr>
          <w:rFonts w:ascii="Times New Roman" w:hAnsi="Times New Roman" w:cs="Times New Roman" w:eastAsiaTheme="minorEastAsia"/>
          <w:sz w:val="24"/>
          <w:szCs w:val="24"/>
        </w:rPr>
        <w:t xml:space="preserve"> 10 万吨</w:t>
      </w:r>
      <w:r>
        <w:rPr>
          <w:rFonts w:hint="eastAsia" w:ascii="Times New Roman" w:hAnsi="Times New Roman" w:cs="Times New Roman" w:eastAsiaTheme="minorEastAsia"/>
          <w:sz w:val="24"/>
          <w:szCs w:val="24"/>
          <w:lang w:eastAsia="zh-CN"/>
        </w:rPr>
        <w:t>的</w:t>
      </w:r>
      <w:r>
        <w:rPr>
          <w:rFonts w:ascii="Times New Roman" w:hAnsi="Times New Roman" w:cs="Times New Roman" w:eastAsiaTheme="minorEastAsia"/>
          <w:sz w:val="24"/>
          <w:szCs w:val="24"/>
        </w:rPr>
        <w:t>碳源流</w:t>
      </w:r>
      <w:r>
        <w:rPr>
          <w:rFonts w:hint="eastAsia" w:ascii="Times New Roman" w:hAnsi="Times New Roman" w:cs="Times New Roman" w:eastAsiaTheme="minorEastAsia"/>
          <w:sz w:val="24"/>
          <w:szCs w:val="24"/>
          <w:lang w:eastAsia="zh-CN"/>
        </w:rPr>
        <w:t>，</w:t>
      </w:r>
      <w:r>
        <w:rPr>
          <w:rFonts w:ascii="Times New Roman" w:hAnsi="Times New Roman" w:cs="Times New Roman" w:eastAsiaTheme="minorEastAsia"/>
          <w:sz w:val="24"/>
          <w:szCs w:val="24"/>
        </w:rPr>
        <w:t>以绝对值最高者为准。</w:t>
      </w:r>
    </w:p>
    <w:p w14:paraId="26F3602F">
      <w:pPr>
        <w:pStyle w:val="14"/>
        <w:numPr>
          <w:ilvl w:val="1"/>
          <w:numId w:val="1"/>
        </w:numPr>
        <w:tabs>
          <w:tab w:val="left" w:pos="760"/>
          <w:tab w:val="left" w:pos="761"/>
        </w:tabs>
        <w:spacing w:before="5"/>
        <w:ind w:hanging="541"/>
        <w:rPr>
          <w:rFonts w:ascii="Times New Roman" w:hAnsi="Times New Roman" w:cs="Times New Roman" w:eastAsiaTheme="minorEastAsia"/>
          <w:sz w:val="24"/>
          <w:szCs w:val="24"/>
        </w:rPr>
      </w:pPr>
      <w:r>
        <w:rPr>
          <w:rFonts w:ascii="Times New Roman" w:hAnsi="Times New Roman" w:cs="Times New Roman" w:eastAsiaTheme="minorEastAsia"/>
          <w:sz w:val="24"/>
          <w:szCs w:val="24"/>
        </w:rPr>
        <w:t>微量碳源流  de-minimis source stream</w:t>
      </w:r>
    </w:p>
    <w:p w14:paraId="043060FD">
      <w:pPr>
        <w:spacing w:before="160" w:line="360" w:lineRule="auto"/>
        <w:ind w:left="221" w:right="726" w:firstLine="482"/>
        <w:rPr>
          <w:rFonts w:ascii="Times New Roman" w:hAnsi="Times New Roman" w:cs="Times New Roman" w:eastAsiaTheme="minorEastAsia"/>
          <w:sz w:val="24"/>
          <w:szCs w:val="24"/>
        </w:rPr>
      </w:pPr>
      <w:r>
        <w:rPr>
          <w:rFonts w:ascii="Times New Roman" w:hAnsi="Times New Roman" w:cs="Times New Roman" w:eastAsiaTheme="minorEastAsia"/>
          <w:sz w:val="24"/>
          <w:szCs w:val="24"/>
        </w:rPr>
        <w:t>企业</w:t>
      </w:r>
      <w:r>
        <w:rPr>
          <w:rFonts w:hint="eastAsia" w:ascii="Times New Roman" w:hAnsi="Times New Roman" w:cs="Times New Roman" w:eastAsiaTheme="minorEastAsia"/>
          <w:sz w:val="24"/>
          <w:szCs w:val="24"/>
          <w:lang w:eastAsia="zh-CN"/>
        </w:rPr>
        <w:t>年度</w:t>
      </w:r>
      <w:r>
        <w:rPr>
          <w:rFonts w:ascii="Times New Roman" w:hAnsi="Times New Roman" w:cs="Times New Roman" w:eastAsiaTheme="minorEastAsia"/>
          <w:sz w:val="24"/>
          <w:szCs w:val="24"/>
        </w:rPr>
        <w:t>化石二氧化碳</w:t>
      </w:r>
      <w:r>
        <w:rPr>
          <w:rFonts w:hint="eastAsia" w:ascii="Times New Roman" w:hAnsi="Times New Roman" w:cs="Times New Roman" w:eastAsiaTheme="minorEastAsia"/>
          <w:sz w:val="24"/>
          <w:szCs w:val="24"/>
          <w:lang w:eastAsia="zh-CN"/>
        </w:rPr>
        <w:t>排放</w:t>
      </w:r>
      <w:r>
        <w:rPr>
          <w:rFonts w:ascii="Times New Roman" w:hAnsi="Times New Roman" w:cs="Times New Roman" w:eastAsiaTheme="minorEastAsia"/>
          <w:sz w:val="24"/>
          <w:szCs w:val="24"/>
        </w:rPr>
        <w:t xml:space="preserve">当量总计少于 </w:t>
      </w:r>
      <w:r>
        <w:rPr>
          <w:rFonts w:hint="eastAsia" w:ascii="Times New Roman" w:hAnsi="Times New Roman" w:cs="Times New Roman" w:eastAsiaTheme="minorEastAsia"/>
          <w:sz w:val="24"/>
          <w:szCs w:val="24"/>
          <w:lang w:eastAsia="zh-CN"/>
        </w:rPr>
        <w:t>10</w:t>
      </w:r>
      <w:r>
        <w:rPr>
          <w:rFonts w:ascii="Times New Roman" w:hAnsi="Times New Roman" w:cs="Times New Roman" w:eastAsiaTheme="minorEastAsia"/>
          <w:sz w:val="24"/>
          <w:szCs w:val="24"/>
        </w:rPr>
        <w:t>00 吨</w:t>
      </w:r>
      <w:r>
        <w:rPr>
          <w:rFonts w:hint="eastAsia" w:ascii="Times New Roman" w:hAnsi="Times New Roman" w:cs="Times New Roman" w:eastAsiaTheme="minorEastAsia"/>
          <w:sz w:val="24"/>
          <w:szCs w:val="24"/>
          <w:lang w:eastAsia="zh-CN"/>
        </w:rPr>
        <w:t>，</w:t>
      </w:r>
      <w:r>
        <w:rPr>
          <w:rFonts w:ascii="Times New Roman" w:hAnsi="Times New Roman" w:cs="Times New Roman" w:eastAsiaTheme="minorEastAsia"/>
          <w:sz w:val="24"/>
          <w:szCs w:val="24"/>
        </w:rPr>
        <w:t xml:space="preserve">或低于年度总排放量 </w:t>
      </w:r>
      <w:r>
        <w:rPr>
          <w:rFonts w:hint="eastAsia" w:ascii="Times New Roman" w:hAnsi="Times New Roman" w:cs="Times New Roman" w:eastAsiaTheme="minorEastAsia"/>
          <w:sz w:val="24"/>
          <w:szCs w:val="24"/>
          <w:lang w:eastAsia="zh-CN"/>
        </w:rPr>
        <w:t>2</w:t>
      </w:r>
      <w:r>
        <w:rPr>
          <w:rFonts w:ascii="Times New Roman" w:hAnsi="Times New Roman" w:cs="Times New Roman" w:eastAsiaTheme="minorEastAsia"/>
          <w:sz w:val="24"/>
          <w:szCs w:val="24"/>
        </w:rPr>
        <w:t>％</w:t>
      </w:r>
      <w:r>
        <w:rPr>
          <w:rFonts w:hint="eastAsia" w:ascii="Times New Roman" w:hAnsi="Times New Roman" w:cs="Times New Roman" w:eastAsiaTheme="minorEastAsia"/>
          <w:sz w:val="24"/>
          <w:szCs w:val="24"/>
          <w:lang w:eastAsia="zh-CN"/>
        </w:rPr>
        <w:t>且不超过2</w:t>
      </w:r>
      <w:r>
        <w:rPr>
          <w:rFonts w:ascii="Times New Roman" w:hAnsi="Times New Roman" w:cs="Times New Roman" w:eastAsiaTheme="minorEastAsia"/>
          <w:sz w:val="24"/>
          <w:szCs w:val="24"/>
        </w:rPr>
        <w:t>万吨</w:t>
      </w:r>
      <w:r>
        <w:rPr>
          <w:rFonts w:hint="eastAsia" w:ascii="Times New Roman" w:hAnsi="Times New Roman" w:cs="Times New Roman" w:eastAsiaTheme="minorEastAsia"/>
          <w:sz w:val="24"/>
          <w:szCs w:val="24"/>
          <w:lang w:eastAsia="zh-CN"/>
        </w:rPr>
        <w:t>的</w:t>
      </w:r>
      <w:r>
        <w:rPr>
          <w:rFonts w:ascii="Times New Roman" w:hAnsi="Times New Roman" w:cs="Times New Roman" w:eastAsiaTheme="minorEastAsia"/>
          <w:sz w:val="24"/>
          <w:szCs w:val="24"/>
        </w:rPr>
        <w:t>碳源流</w:t>
      </w:r>
      <w:r>
        <w:rPr>
          <w:rFonts w:hint="eastAsia" w:ascii="Times New Roman" w:hAnsi="Times New Roman" w:cs="Times New Roman" w:eastAsiaTheme="minorEastAsia"/>
          <w:sz w:val="24"/>
          <w:szCs w:val="24"/>
          <w:lang w:eastAsia="zh-CN"/>
        </w:rPr>
        <w:t>，</w:t>
      </w:r>
      <w:r>
        <w:rPr>
          <w:rFonts w:ascii="Times New Roman" w:hAnsi="Times New Roman" w:cs="Times New Roman" w:eastAsiaTheme="minorEastAsia"/>
          <w:sz w:val="24"/>
          <w:szCs w:val="24"/>
        </w:rPr>
        <w:t>以绝对值最高者为准。</w:t>
      </w:r>
    </w:p>
    <w:p w14:paraId="28F97122">
      <w:pPr>
        <w:pStyle w:val="14"/>
        <w:numPr>
          <w:ilvl w:val="0"/>
          <w:numId w:val="1"/>
        </w:numPr>
        <w:tabs>
          <w:tab w:val="left" w:pos="580"/>
          <w:tab w:val="left" w:pos="581"/>
        </w:tabs>
        <w:spacing w:before="160" w:after="160" w:line="360" w:lineRule="auto"/>
        <w:ind w:left="584" w:hanging="363"/>
        <w:rPr>
          <w:rFonts w:ascii="黑体" w:eastAsia="黑体"/>
          <w:sz w:val="24"/>
        </w:rPr>
      </w:pPr>
      <w:bookmarkStart w:id="12" w:name="_bookmark6"/>
      <w:bookmarkEnd w:id="12"/>
      <w:bookmarkStart w:id="13" w:name="4__概述"/>
      <w:bookmarkEnd w:id="13"/>
      <w:r>
        <w:rPr>
          <w:rFonts w:hint="eastAsia" w:ascii="黑体" w:eastAsia="黑体"/>
          <w:sz w:val="24"/>
        </w:rPr>
        <w:t>概述</w:t>
      </w:r>
    </w:p>
    <w:p w14:paraId="1162948B">
      <w:pPr>
        <w:spacing w:before="160" w:line="360" w:lineRule="auto"/>
        <w:ind w:left="221" w:right="726" w:firstLine="482"/>
        <w:rPr>
          <w:spacing w:val="7"/>
          <w:sz w:val="24"/>
          <w:szCs w:val="24"/>
        </w:rPr>
      </w:pPr>
      <w:bookmarkStart w:id="14" w:name="5__计量特性"/>
      <w:bookmarkEnd w:id="14"/>
      <w:bookmarkStart w:id="15" w:name="_bookmark9"/>
      <w:bookmarkEnd w:id="15"/>
      <w:r>
        <w:rPr>
          <w:spacing w:val="6"/>
          <w:sz w:val="24"/>
          <w:szCs w:val="24"/>
        </w:rPr>
        <w:t>目前，碳排放计量主要</w:t>
      </w:r>
      <w:r>
        <w:rPr>
          <w:rFonts w:ascii="Times New Roman" w:hAnsi="Times New Roman" w:cs="Times New Roman"/>
          <w:spacing w:val="6"/>
          <w:sz w:val="24"/>
          <w:szCs w:val="24"/>
        </w:rPr>
        <w:t>有</w:t>
      </w:r>
      <w:r>
        <w:rPr>
          <w:rFonts w:ascii="Times New Roman" w:hAnsi="Times New Roman" w:cs="Times New Roman"/>
          <w:spacing w:val="6"/>
          <w:sz w:val="24"/>
          <w:szCs w:val="24"/>
          <w:lang w:eastAsia="zh-CN"/>
        </w:rPr>
        <w:t>实测</w:t>
      </w:r>
      <w:r>
        <w:rPr>
          <w:rFonts w:ascii="Times New Roman" w:hAnsi="Times New Roman" w:cs="Times New Roman"/>
          <w:spacing w:val="6"/>
          <w:sz w:val="24"/>
          <w:szCs w:val="24"/>
        </w:rPr>
        <w:t>法和核算法两</w:t>
      </w:r>
      <w:r>
        <w:rPr>
          <w:spacing w:val="6"/>
          <w:sz w:val="24"/>
          <w:szCs w:val="24"/>
        </w:rPr>
        <w:t>种方式。本规范针对这两种方式</w:t>
      </w:r>
      <w:r>
        <w:rPr>
          <w:spacing w:val="5"/>
          <w:sz w:val="24"/>
          <w:szCs w:val="24"/>
        </w:rPr>
        <w:t>提</w:t>
      </w:r>
      <w:r>
        <w:rPr>
          <w:spacing w:val="14"/>
          <w:sz w:val="24"/>
          <w:szCs w:val="24"/>
        </w:rPr>
        <w:t>出</w:t>
      </w:r>
      <w:r>
        <w:rPr>
          <w:spacing w:val="12"/>
          <w:sz w:val="24"/>
          <w:szCs w:val="24"/>
        </w:rPr>
        <w:t>了</w:t>
      </w:r>
      <w:r>
        <w:rPr>
          <w:spacing w:val="7"/>
          <w:sz w:val="24"/>
          <w:szCs w:val="24"/>
        </w:rPr>
        <w:t>碳排放计量器具 (系统) 配备及管理的要求。</w:t>
      </w:r>
    </w:p>
    <w:p w14:paraId="7B1FEEEF">
      <w:pPr>
        <w:spacing w:before="160" w:line="360" w:lineRule="auto"/>
        <w:ind w:left="221" w:right="726" w:firstLine="482"/>
        <w:rPr>
          <w:rFonts w:ascii="Times New Roman" w:hAnsi="Times New Roman" w:cs="Times New Roman"/>
          <w:spacing w:val="7"/>
          <w:sz w:val="24"/>
          <w:szCs w:val="24"/>
          <w:lang w:eastAsia="zh-CN"/>
        </w:rPr>
      </w:pPr>
      <w:r>
        <w:rPr>
          <w:rFonts w:ascii="Times New Roman" w:hAnsi="Times New Roman" w:cs="Times New Roman"/>
          <w:spacing w:val="7"/>
          <w:sz w:val="24"/>
          <w:szCs w:val="24"/>
          <w:lang w:eastAsia="zh-CN"/>
        </w:rPr>
        <w:t>碳排放实测法是通过安装监测仪器、设备（如：烟气排放连续监测系统</w:t>
      </w:r>
      <w:r>
        <w:rPr>
          <w:rFonts w:hint="eastAsia" w:ascii="Times New Roman" w:hAnsi="Times New Roman" w:cs="Times New Roman"/>
          <w:spacing w:val="7"/>
          <w:sz w:val="24"/>
          <w:szCs w:val="24"/>
          <w:lang w:eastAsia="zh-CN"/>
        </w:rPr>
        <w:t>，</w:t>
      </w:r>
      <w:r>
        <w:rPr>
          <w:rFonts w:ascii="Times New Roman" w:hAnsi="Times New Roman" w:cs="Times New Roman"/>
          <w:spacing w:val="7"/>
          <w:sz w:val="24"/>
          <w:szCs w:val="24"/>
          <w:lang w:eastAsia="zh-CN"/>
        </w:rPr>
        <w:t>CEMS），并采用相关技术文件中要求的方法测量温室气体源排放到大气中的温室气体排放量</w:t>
      </w:r>
      <w:r>
        <w:rPr>
          <w:rFonts w:hint="eastAsia" w:ascii="Times New Roman" w:hAnsi="Times New Roman" w:cs="Times New Roman"/>
          <w:spacing w:val="7"/>
          <w:sz w:val="24"/>
          <w:szCs w:val="24"/>
          <w:lang w:eastAsia="zh-CN"/>
        </w:rPr>
        <w:t>，也称直接测量法</w:t>
      </w:r>
      <w:r>
        <w:rPr>
          <w:rFonts w:ascii="Times New Roman" w:hAnsi="Times New Roman" w:cs="Times New Roman"/>
          <w:spacing w:val="7"/>
          <w:sz w:val="24"/>
          <w:szCs w:val="24"/>
          <w:lang w:eastAsia="zh-CN"/>
        </w:rPr>
        <w:t>。核算法包括排放因子法和物料平衡法，采用排放因子法计算时，温室气体排放量为活动数据与温室气体排放因子的乘积；物料平衡法是根据质量守恒定律，用输入物料中的含碳量减去输出物料中的含碳量进行平衡计算得到二氧化碳排放当量。</w:t>
      </w:r>
    </w:p>
    <w:p w14:paraId="0CE13FD2">
      <w:pPr>
        <w:pStyle w:val="14"/>
        <w:numPr>
          <w:ilvl w:val="0"/>
          <w:numId w:val="1"/>
        </w:numPr>
        <w:tabs>
          <w:tab w:val="left" w:pos="580"/>
          <w:tab w:val="left" w:pos="581"/>
        </w:tabs>
        <w:spacing w:before="160" w:after="160" w:line="360" w:lineRule="auto"/>
        <w:ind w:left="584" w:right="279" w:rightChars="127" w:hanging="363"/>
        <w:rPr>
          <w:rFonts w:ascii="黑体" w:eastAsia="黑体"/>
          <w:sz w:val="18"/>
          <w:szCs w:val="18"/>
        </w:rPr>
      </w:pPr>
      <w:r>
        <w:rPr>
          <w:rFonts w:hint="eastAsia" w:ascii="黑体" w:eastAsia="黑体"/>
          <w:sz w:val="24"/>
        </w:rPr>
        <w:t>碳排放计量器具的配备要求</w:t>
      </w:r>
    </w:p>
    <w:p w14:paraId="44B31BFF">
      <w:pPr>
        <w:pStyle w:val="14"/>
        <w:numPr>
          <w:ilvl w:val="1"/>
          <w:numId w:val="1"/>
        </w:numPr>
        <w:tabs>
          <w:tab w:val="left" w:pos="760"/>
          <w:tab w:val="left" w:pos="761"/>
        </w:tabs>
        <w:spacing w:before="5"/>
        <w:ind w:hanging="541"/>
        <w:rPr>
          <w:spacing w:val="-1"/>
          <w:sz w:val="24"/>
          <w:lang w:eastAsia="zh-CN"/>
        </w:rPr>
      </w:pPr>
      <w:r>
        <w:rPr>
          <w:rFonts w:hint="eastAsia"/>
          <w:spacing w:val="-1"/>
          <w:sz w:val="24"/>
          <w:lang w:eastAsia="zh-CN"/>
        </w:rPr>
        <w:t>碳排放量结果测量不确定度要求</w:t>
      </w:r>
    </w:p>
    <w:p w14:paraId="1740BDB9">
      <w:pPr>
        <w:spacing w:before="160" w:line="360" w:lineRule="auto"/>
        <w:ind w:left="221" w:right="726" w:firstLine="482"/>
        <w:rPr>
          <w:rFonts w:ascii="Times New Roman" w:hAnsi="Times New Roman" w:cs="Times New Roman"/>
          <w:spacing w:val="6"/>
          <w:sz w:val="24"/>
          <w:szCs w:val="24"/>
        </w:rPr>
      </w:pPr>
      <w:r>
        <w:rPr>
          <w:rFonts w:ascii="Times New Roman" w:hAnsi="Times New Roman" w:cs="Times New Roman"/>
          <w:spacing w:val="6"/>
          <w:sz w:val="24"/>
          <w:szCs w:val="24"/>
        </w:rPr>
        <w:t>企业应分析并评定碳排放量数据的</w:t>
      </w:r>
      <w:r>
        <w:rPr>
          <w:rFonts w:hint="eastAsia" w:ascii="Times New Roman" w:hAnsi="Times New Roman" w:cs="Times New Roman"/>
          <w:spacing w:val="6"/>
          <w:sz w:val="24"/>
          <w:szCs w:val="24"/>
          <w:lang w:eastAsia="zh-CN"/>
        </w:rPr>
        <w:t>扩展</w:t>
      </w:r>
      <w:r>
        <w:rPr>
          <w:rFonts w:ascii="Times New Roman" w:hAnsi="Times New Roman" w:cs="Times New Roman"/>
          <w:spacing w:val="6"/>
          <w:sz w:val="24"/>
          <w:szCs w:val="24"/>
        </w:rPr>
        <w:t>不确定度，其</w:t>
      </w:r>
      <w:r>
        <w:rPr>
          <w:rFonts w:hint="eastAsia" w:ascii="Times New Roman" w:hAnsi="Times New Roman" w:cs="Times New Roman"/>
          <w:spacing w:val="6"/>
          <w:sz w:val="24"/>
          <w:szCs w:val="24"/>
          <w:lang w:eastAsia="zh-CN"/>
        </w:rPr>
        <w:t>扩展</w:t>
      </w:r>
      <w:r>
        <w:rPr>
          <w:rFonts w:ascii="Times New Roman" w:hAnsi="Times New Roman" w:cs="Times New Roman"/>
          <w:spacing w:val="6"/>
          <w:sz w:val="24"/>
          <w:szCs w:val="24"/>
        </w:rPr>
        <w:t>不确定度应满足表 1 的要求。</w:t>
      </w:r>
    </w:p>
    <w:p w14:paraId="0DC9A2FD">
      <w:pPr>
        <w:spacing w:before="120" w:line="229" w:lineRule="auto"/>
        <w:jc w:val="center"/>
        <w:rPr>
          <w:rFonts w:ascii="黑体" w:hAnsi="黑体" w:eastAsia="黑体" w:cs="黑体"/>
          <w:sz w:val="20"/>
          <w:szCs w:val="20"/>
          <w:lang w:eastAsia="zh-CN"/>
        </w:rPr>
      </w:pPr>
      <w:r>
        <w:rPr>
          <w:rFonts w:ascii="黑体" w:hAnsi="黑体" w:eastAsia="黑体" w:cs="黑体"/>
          <w:spacing w:val="8"/>
          <w:sz w:val="20"/>
          <w:szCs w:val="20"/>
        </w:rPr>
        <w:t>表</w:t>
      </w:r>
      <w:r>
        <w:rPr>
          <w:rFonts w:ascii="Times New Roman" w:hAnsi="Times New Roman" w:eastAsia="Times New Roman" w:cs="Times New Roman"/>
          <w:spacing w:val="4"/>
          <w:sz w:val="20"/>
          <w:szCs w:val="20"/>
        </w:rPr>
        <w:t xml:space="preserve">1 </w:t>
      </w:r>
      <w:r>
        <w:rPr>
          <w:rFonts w:ascii="黑体" w:hAnsi="黑体" w:eastAsia="黑体" w:cs="黑体"/>
          <w:spacing w:val="4"/>
          <w:sz w:val="20"/>
          <w:szCs w:val="20"/>
        </w:rPr>
        <w:t>碳排放量数据</w:t>
      </w:r>
      <w:r>
        <w:rPr>
          <w:rFonts w:hint="eastAsia" w:ascii="黑体" w:hAnsi="黑体" w:eastAsia="黑体" w:cs="黑体"/>
          <w:spacing w:val="4"/>
          <w:sz w:val="20"/>
          <w:szCs w:val="20"/>
          <w:lang w:eastAsia="zh-CN"/>
        </w:rPr>
        <w:t>扩展</w:t>
      </w:r>
      <w:r>
        <w:rPr>
          <w:rFonts w:ascii="黑体" w:hAnsi="黑体" w:eastAsia="黑体" w:cs="黑体"/>
          <w:spacing w:val="4"/>
          <w:sz w:val="20"/>
          <w:szCs w:val="20"/>
        </w:rPr>
        <w:t>不确定度</w:t>
      </w:r>
    </w:p>
    <w:p w14:paraId="7CF2CDAA">
      <w:pPr>
        <w:spacing w:line="144" w:lineRule="auto"/>
        <w:rPr>
          <w:rFonts w:ascii="Arial"/>
          <w:sz w:val="2"/>
        </w:rPr>
      </w:pPr>
    </w:p>
    <w:tbl>
      <w:tblPr>
        <w:tblStyle w:val="15"/>
        <w:tblW w:w="712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687"/>
        <w:gridCol w:w="3436"/>
      </w:tblGrid>
      <w:tr w14:paraId="214C7F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687" w:type="dxa"/>
            <w:vAlign w:val="center"/>
          </w:tcPr>
          <w:p w14:paraId="6BEFE279">
            <w:pPr>
              <w:spacing w:before="120" w:line="281" w:lineRule="exact"/>
              <w:ind w:left="118"/>
              <w:jc w:val="center"/>
              <w:rPr>
                <w:sz w:val="20"/>
                <w:szCs w:val="20"/>
              </w:rPr>
            </w:pPr>
            <w:r>
              <w:rPr>
                <w:spacing w:val="4"/>
                <w:position w:val="1"/>
                <w:sz w:val="20"/>
                <w:szCs w:val="20"/>
              </w:rPr>
              <w:t xml:space="preserve">二氧化碳排放当量 </w:t>
            </w:r>
            <w:r>
              <w:rPr>
                <w:rFonts w:ascii="Times New Roman" w:hAnsi="Times New Roman" w:eastAsia="Times New Roman" w:cs="Times New Roman"/>
                <w:i/>
                <w:iCs/>
                <w:position w:val="1"/>
                <w:sz w:val="20"/>
                <w:szCs w:val="20"/>
              </w:rPr>
              <w:t>t</w:t>
            </w:r>
            <w:r>
              <w:rPr>
                <w:rFonts w:ascii="Times New Roman" w:hAnsi="Times New Roman" w:eastAsia="Times New Roman" w:cs="Times New Roman"/>
                <w:spacing w:val="4"/>
                <w:position w:val="1"/>
                <w:sz w:val="20"/>
                <w:szCs w:val="20"/>
              </w:rPr>
              <w:t xml:space="preserve"> </w:t>
            </w:r>
            <w:r>
              <w:rPr>
                <w:spacing w:val="4"/>
                <w:position w:val="1"/>
                <w:sz w:val="20"/>
                <w:szCs w:val="20"/>
              </w:rPr>
              <w:t>(万吨</w:t>
            </w:r>
            <w:r>
              <w:rPr>
                <w:rFonts w:ascii="Times New Roman" w:hAnsi="Times New Roman" w:eastAsia="Times New Roman" w:cs="Times New Roman"/>
                <w:spacing w:val="4"/>
                <w:position w:val="1"/>
                <w:sz w:val="20"/>
                <w:szCs w:val="20"/>
              </w:rPr>
              <w:t>/</w:t>
            </w:r>
            <w:r>
              <w:rPr>
                <w:spacing w:val="4"/>
                <w:position w:val="1"/>
                <w:sz w:val="20"/>
                <w:szCs w:val="20"/>
              </w:rPr>
              <w:t>年</w:t>
            </w:r>
            <w:r>
              <w:rPr>
                <w:spacing w:val="1"/>
                <w:position w:val="1"/>
                <w:sz w:val="20"/>
                <w:szCs w:val="20"/>
              </w:rPr>
              <w:t>)</w:t>
            </w:r>
          </w:p>
        </w:tc>
        <w:tc>
          <w:tcPr>
            <w:tcW w:w="3436" w:type="dxa"/>
            <w:vAlign w:val="center"/>
          </w:tcPr>
          <w:p w14:paraId="7A5364CA">
            <w:pPr>
              <w:spacing w:before="120" w:line="281" w:lineRule="exact"/>
              <w:jc w:val="center"/>
              <w:rPr>
                <w:sz w:val="20"/>
                <w:szCs w:val="20"/>
              </w:rPr>
            </w:pPr>
            <w:r>
              <w:rPr>
                <w:rFonts w:hint="eastAsia"/>
                <w:spacing w:val="6"/>
                <w:position w:val="1"/>
                <w:sz w:val="20"/>
                <w:szCs w:val="20"/>
                <w:lang w:eastAsia="zh-CN"/>
              </w:rPr>
              <w:t>扩展</w:t>
            </w:r>
            <w:r>
              <w:rPr>
                <w:spacing w:val="6"/>
                <w:position w:val="1"/>
                <w:sz w:val="20"/>
                <w:szCs w:val="20"/>
              </w:rPr>
              <w:t>不</w:t>
            </w:r>
            <w:r>
              <w:rPr>
                <w:spacing w:val="5"/>
                <w:position w:val="1"/>
                <w:sz w:val="20"/>
                <w:szCs w:val="20"/>
              </w:rPr>
              <w:t>确</w:t>
            </w:r>
            <w:r>
              <w:rPr>
                <w:spacing w:val="3"/>
                <w:position w:val="1"/>
                <w:sz w:val="20"/>
                <w:szCs w:val="20"/>
              </w:rPr>
              <w:t>定度 (</w:t>
            </w:r>
            <w:r>
              <w:rPr>
                <w:rFonts w:ascii="Times New Roman" w:hAnsi="Times New Roman" w:eastAsia="Times New Roman" w:cs="Times New Roman"/>
                <w:i/>
                <w:iCs/>
                <w:position w:val="1"/>
                <w:sz w:val="20"/>
                <w:szCs w:val="20"/>
              </w:rPr>
              <w:t>U</w:t>
            </w:r>
            <w:r>
              <w:rPr>
                <w:rFonts w:ascii="Times New Roman" w:hAnsi="Times New Roman" w:eastAsia="Times New Roman" w:cs="Times New Roman"/>
                <w:sz w:val="13"/>
                <w:szCs w:val="13"/>
              </w:rPr>
              <w:t>rel</w:t>
            </w:r>
            <w:r>
              <w:rPr>
                <w:rFonts w:hint="eastAsia"/>
                <w:spacing w:val="6"/>
                <w:position w:val="1"/>
                <w:sz w:val="20"/>
                <w:szCs w:val="20"/>
                <w:lang w:eastAsia="zh-CN"/>
              </w:rPr>
              <w:t>，</w:t>
            </w:r>
            <w:r>
              <w:rPr>
                <w:rFonts w:ascii="Times New Roman" w:hAnsi="Times New Roman" w:eastAsia="Times New Roman" w:cs="Times New Roman"/>
                <w:i/>
                <w:iCs/>
                <w:position w:val="1"/>
                <w:sz w:val="20"/>
                <w:szCs w:val="20"/>
              </w:rPr>
              <w:t>k</w:t>
            </w:r>
            <w:r>
              <w:rPr>
                <w:rFonts w:ascii="Times New Roman" w:hAnsi="Times New Roman" w:eastAsia="Times New Roman" w:cs="Times New Roman"/>
                <w:spacing w:val="3"/>
                <w:position w:val="1"/>
                <w:sz w:val="20"/>
                <w:szCs w:val="20"/>
              </w:rPr>
              <w:t>=2</w:t>
            </w:r>
            <w:r>
              <w:rPr>
                <w:spacing w:val="3"/>
                <w:position w:val="1"/>
                <w:sz w:val="20"/>
                <w:szCs w:val="20"/>
              </w:rPr>
              <w:t>)</w:t>
            </w:r>
          </w:p>
        </w:tc>
      </w:tr>
      <w:tr w14:paraId="2FC673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687" w:type="dxa"/>
            <w:vAlign w:val="center"/>
          </w:tcPr>
          <w:p w14:paraId="42D4E8AA">
            <w:pPr>
              <w:spacing w:before="101" w:line="285" w:lineRule="exact"/>
              <w:jc w:val="center"/>
              <w:rPr>
                <w:rFonts w:ascii="Times New Roman" w:hAnsi="Times New Roman" w:eastAsia="Times New Roman" w:cs="Times New Roman"/>
                <w:sz w:val="20"/>
                <w:szCs w:val="20"/>
              </w:rPr>
            </w:pPr>
            <w:r>
              <w:rPr>
                <w:rFonts w:ascii="Times New Roman" w:hAnsi="Times New Roman" w:eastAsia="Times New Roman" w:cs="Times New Roman"/>
                <w:spacing w:val="5"/>
                <w:position w:val="2"/>
                <w:sz w:val="20"/>
                <w:szCs w:val="20"/>
              </w:rPr>
              <w:t>2.6</w:t>
            </w:r>
            <w:r>
              <w:rPr>
                <w:rFonts w:ascii="Arial" w:hAnsi="Arial" w:eastAsia="Arial" w:cs="Arial"/>
                <w:spacing w:val="5"/>
                <w:position w:val="2"/>
                <w:sz w:val="20"/>
                <w:szCs w:val="20"/>
              </w:rPr>
              <w:t>≤</w:t>
            </w:r>
            <w:r>
              <w:rPr>
                <w:rFonts w:ascii="Times New Roman" w:hAnsi="Times New Roman" w:eastAsia="Times New Roman" w:cs="Times New Roman"/>
                <w:i/>
                <w:iCs/>
                <w:position w:val="2"/>
                <w:sz w:val="20"/>
                <w:szCs w:val="20"/>
              </w:rPr>
              <w:t>t</w:t>
            </w:r>
            <w:r>
              <w:rPr>
                <w:spacing w:val="5"/>
                <w:position w:val="2"/>
                <w:sz w:val="20"/>
                <w:szCs w:val="20"/>
              </w:rPr>
              <w:t>＜</w:t>
            </w:r>
            <w:r>
              <w:rPr>
                <w:rFonts w:ascii="Times New Roman" w:hAnsi="Times New Roman" w:eastAsia="Times New Roman" w:cs="Times New Roman"/>
                <w:spacing w:val="5"/>
                <w:position w:val="2"/>
                <w:sz w:val="20"/>
                <w:szCs w:val="20"/>
              </w:rPr>
              <w:t>5</w:t>
            </w:r>
          </w:p>
        </w:tc>
        <w:tc>
          <w:tcPr>
            <w:tcW w:w="3436" w:type="dxa"/>
            <w:vAlign w:val="center"/>
          </w:tcPr>
          <w:p w14:paraId="10748B01">
            <w:pPr>
              <w:spacing w:before="101" w:line="285" w:lineRule="exact"/>
              <w:jc w:val="center"/>
              <w:rPr>
                <w:rFonts w:ascii="Times New Roman" w:hAnsi="Times New Roman" w:eastAsia="Times New Roman" w:cs="Times New Roman"/>
                <w:sz w:val="20"/>
                <w:szCs w:val="20"/>
              </w:rPr>
            </w:pPr>
            <w:r>
              <w:rPr>
                <w:rFonts w:ascii="Arial" w:hAnsi="Arial" w:eastAsia="Arial" w:cs="Arial"/>
                <w:spacing w:val="-8"/>
                <w:position w:val="2"/>
                <w:sz w:val="20"/>
                <w:szCs w:val="20"/>
              </w:rPr>
              <w:t xml:space="preserve">≤ </w:t>
            </w:r>
            <w:r>
              <w:rPr>
                <w:rFonts w:ascii="Times New Roman" w:hAnsi="Times New Roman" w:eastAsia="Times New Roman" w:cs="Times New Roman"/>
                <w:spacing w:val="-8"/>
                <w:position w:val="2"/>
                <w:sz w:val="20"/>
                <w:szCs w:val="20"/>
              </w:rPr>
              <w:t>10%</w:t>
            </w:r>
          </w:p>
        </w:tc>
      </w:tr>
      <w:tr w14:paraId="22A4EF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687" w:type="dxa"/>
            <w:vAlign w:val="center"/>
          </w:tcPr>
          <w:p w14:paraId="7B3AA8CF">
            <w:pPr>
              <w:spacing w:before="95" w:line="285" w:lineRule="exact"/>
              <w:jc w:val="center"/>
              <w:rPr>
                <w:rFonts w:ascii="Times New Roman" w:hAnsi="Times New Roman" w:eastAsia="Times New Roman" w:cs="Times New Roman"/>
                <w:sz w:val="20"/>
                <w:szCs w:val="20"/>
              </w:rPr>
            </w:pPr>
            <w:r>
              <w:rPr>
                <w:rFonts w:ascii="Times New Roman" w:hAnsi="Times New Roman" w:eastAsia="Times New Roman" w:cs="Times New Roman"/>
                <w:spacing w:val="5"/>
                <w:position w:val="2"/>
                <w:sz w:val="20"/>
                <w:szCs w:val="20"/>
              </w:rPr>
              <w:t>5</w:t>
            </w:r>
            <w:r>
              <w:rPr>
                <w:rFonts w:ascii="Arial" w:hAnsi="Arial" w:eastAsia="Arial" w:cs="Arial"/>
                <w:spacing w:val="4"/>
                <w:position w:val="2"/>
                <w:sz w:val="20"/>
                <w:szCs w:val="20"/>
              </w:rPr>
              <w:t>≤</w:t>
            </w:r>
            <w:r>
              <w:rPr>
                <w:rFonts w:ascii="Times New Roman" w:hAnsi="Times New Roman" w:eastAsia="Times New Roman" w:cs="Times New Roman"/>
                <w:i/>
                <w:iCs/>
                <w:position w:val="2"/>
                <w:sz w:val="20"/>
                <w:szCs w:val="20"/>
              </w:rPr>
              <w:t>t</w:t>
            </w:r>
            <w:r>
              <w:rPr>
                <w:spacing w:val="4"/>
                <w:position w:val="2"/>
                <w:sz w:val="20"/>
                <w:szCs w:val="20"/>
              </w:rPr>
              <w:t>＜</w:t>
            </w:r>
            <w:r>
              <w:rPr>
                <w:rFonts w:ascii="Times New Roman" w:hAnsi="Times New Roman" w:eastAsia="Times New Roman" w:cs="Times New Roman"/>
                <w:spacing w:val="4"/>
                <w:position w:val="2"/>
                <w:sz w:val="20"/>
                <w:szCs w:val="20"/>
              </w:rPr>
              <w:t>50</w:t>
            </w:r>
          </w:p>
        </w:tc>
        <w:tc>
          <w:tcPr>
            <w:tcW w:w="3436" w:type="dxa"/>
            <w:vAlign w:val="center"/>
          </w:tcPr>
          <w:p w14:paraId="64A2AA77">
            <w:pPr>
              <w:spacing w:before="95" w:line="285" w:lineRule="exact"/>
              <w:jc w:val="center"/>
              <w:rPr>
                <w:rFonts w:ascii="Times New Roman" w:hAnsi="Times New Roman" w:eastAsia="Times New Roman" w:cs="Times New Roman"/>
                <w:sz w:val="20"/>
                <w:szCs w:val="20"/>
              </w:rPr>
            </w:pPr>
            <w:r>
              <w:rPr>
                <w:rFonts w:ascii="Arial" w:hAnsi="Arial" w:eastAsia="Arial" w:cs="Arial"/>
                <w:spacing w:val="4"/>
                <w:position w:val="2"/>
                <w:sz w:val="20"/>
                <w:szCs w:val="20"/>
              </w:rPr>
              <w:t xml:space="preserve">≤ </w:t>
            </w:r>
            <w:r>
              <w:rPr>
                <w:rFonts w:ascii="Times New Roman" w:hAnsi="Times New Roman" w:eastAsia="Times New Roman" w:cs="Times New Roman"/>
                <w:spacing w:val="2"/>
                <w:position w:val="2"/>
                <w:sz w:val="20"/>
                <w:szCs w:val="20"/>
              </w:rPr>
              <w:t>7.5%</w:t>
            </w:r>
          </w:p>
        </w:tc>
      </w:tr>
      <w:tr w14:paraId="1D1371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687" w:type="dxa"/>
            <w:vAlign w:val="center"/>
          </w:tcPr>
          <w:p w14:paraId="757BD6F6">
            <w:pPr>
              <w:spacing w:before="99" w:line="281" w:lineRule="exact"/>
              <w:jc w:val="center"/>
              <w:rPr>
                <w:rFonts w:ascii="Times New Roman" w:hAnsi="Times New Roman" w:eastAsia="Times New Roman" w:cs="Times New Roman"/>
                <w:sz w:val="20"/>
                <w:szCs w:val="20"/>
              </w:rPr>
            </w:pPr>
            <w:r>
              <w:rPr>
                <w:rFonts w:ascii="Times New Roman" w:hAnsi="Times New Roman" w:eastAsia="Times New Roman" w:cs="Times New Roman"/>
                <w:i/>
                <w:iCs/>
                <w:position w:val="2"/>
                <w:sz w:val="20"/>
                <w:szCs w:val="20"/>
              </w:rPr>
              <w:t>t</w:t>
            </w:r>
            <w:r>
              <w:rPr>
                <w:rFonts w:ascii="Arial" w:hAnsi="Arial" w:eastAsia="Arial" w:cs="Arial"/>
                <w:i/>
                <w:iCs/>
                <w:spacing w:val="3"/>
                <w:position w:val="2"/>
                <w:sz w:val="20"/>
                <w:szCs w:val="20"/>
              </w:rPr>
              <w:t>≥</w:t>
            </w:r>
            <w:r>
              <w:rPr>
                <w:rFonts w:ascii="Times New Roman" w:hAnsi="Times New Roman" w:eastAsia="Times New Roman" w:cs="Times New Roman"/>
                <w:spacing w:val="3"/>
                <w:position w:val="2"/>
                <w:sz w:val="20"/>
                <w:szCs w:val="20"/>
              </w:rPr>
              <w:t>5</w:t>
            </w:r>
            <w:r>
              <w:rPr>
                <w:rFonts w:ascii="Times New Roman" w:hAnsi="Times New Roman" w:eastAsia="Times New Roman" w:cs="Times New Roman"/>
                <w:spacing w:val="2"/>
                <w:position w:val="2"/>
                <w:sz w:val="20"/>
                <w:szCs w:val="20"/>
              </w:rPr>
              <w:t>0</w:t>
            </w:r>
          </w:p>
        </w:tc>
        <w:tc>
          <w:tcPr>
            <w:tcW w:w="3436" w:type="dxa"/>
            <w:vAlign w:val="center"/>
          </w:tcPr>
          <w:p w14:paraId="5FB758AA">
            <w:pPr>
              <w:spacing w:before="96" w:line="284" w:lineRule="exact"/>
              <w:jc w:val="center"/>
              <w:rPr>
                <w:rFonts w:ascii="Times New Roman" w:hAnsi="Times New Roman" w:eastAsia="Times New Roman" w:cs="Times New Roman"/>
                <w:sz w:val="20"/>
                <w:szCs w:val="20"/>
              </w:rPr>
            </w:pPr>
            <w:r>
              <w:rPr>
                <w:rFonts w:ascii="Arial" w:hAnsi="Arial" w:eastAsia="Arial" w:cs="Arial"/>
                <w:spacing w:val="4"/>
                <w:position w:val="2"/>
                <w:sz w:val="20"/>
                <w:szCs w:val="20"/>
              </w:rPr>
              <w:t>≤</w:t>
            </w:r>
            <w:r>
              <w:rPr>
                <w:rFonts w:ascii="Times New Roman" w:hAnsi="Times New Roman" w:eastAsia="Times New Roman" w:cs="Times New Roman"/>
                <w:spacing w:val="3"/>
                <w:position w:val="2"/>
                <w:sz w:val="20"/>
                <w:szCs w:val="20"/>
              </w:rPr>
              <w:t>5%</w:t>
            </w:r>
          </w:p>
        </w:tc>
      </w:tr>
      <w:tr w14:paraId="16D8F2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7123" w:type="dxa"/>
            <w:gridSpan w:val="2"/>
            <w:vAlign w:val="center"/>
          </w:tcPr>
          <w:p w14:paraId="2AEF5300">
            <w:pPr>
              <w:pStyle w:val="5"/>
              <w:jc w:val="both"/>
              <w:rPr>
                <w:rFonts w:ascii="Arial" w:hAnsi="Arial" w:eastAsia="Arial" w:cs="Arial"/>
                <w:spacing w:val="4"/>
                <w:position w:val="2"/>
                <w:sz w:val="20"/>
                <w:szCs w:val="20"/>
              </w:rPr>
            </w:pPr>
            <w:r>
              <w:rPr>
                <w:rFonts w:hint="eastAsia" w:ascii="Times New Roman" w:hAnsi="Times New Roman" w:eastAsia="仿宋" w:cs="Times New Roman"/>
                <w:spacing w:val="9"/>
                <w:sz w:val="18"/>
                <w:szCs w:val="18"/>
                <w:lang w:eastAsia="zh-CN"/>
              </w:rPr>
              <w:t>注：扩展</w:t>
            </w:r>
            <w:r>
              <w:rPr>
                <w:rFonts w:ascii="Times New Roman" w:hAnsi="Times New Roman" w:eastAsia="仿宋" w:cs="Times New Roman"/>
                <w:spacing w:val="9"/>
                <w:sz w:val="18"/>
                <w:szCs w:val="18"/>
              </w:rPr>
              <w:t>不确定度</w:t>
            </w:r>
            <w:r>
              <w:rPr>
                <w:rFonts w:hint="eastAsia" w:ascii="Times New Roman" w:hAnsi="Times New Roman" w:eastAsia="仿宋" w:cs="Times New Roman"/>
                <w:spacing w:val="9"/>
                <w:sz w:val="18"/>
                <w:szCs w:val="18"/>
                <w:lang w:eastAsia="zh-CN"/>
              </w:rPr>
              <w:t>，</w:t>
            </w:r>
            <w:r>
              <w:rPr>
                <w:rFonts w:ascii="Times New Roman" w:hAnsi="Times New Roman" w:eastAsia="仿宋" w:cs="Times New Roman"/>
                <w:i/>
                <w:iCs/>
                <w:spacing w:val="9"/>
                <w:sz w:val="18"/>
                <w:szCs w:val="18"/>
              </w:rPr>
              <w:t>U</w:t>
            </w:r>
            <w:r>
              <w:rPr>
                <w:rFonts w:ascii="Times New Roman" w:hAnsi="Times New Roman" w:eastAsia="仿宋" w:cs="Times New Roman"/>
                <w:spacing w:val="9"/>
                <w:sz w:val="18"/>
                <w:szCs w:val="18"/>
                <w:vertAlign w:val="subscript"/>
              </w:rPr>
              <w:t>rel</w:t>
            </w:r>
            <w:r>
              <w:rPr>
                <w:rFonts w:hint="eastAsia" w:ascii="Times New Roman" w:hAnsi="Times New Roman" w:eastAsia="仿宋" w:cs="Times New Roman"/>
                <w:spacing w:val="9"/>
                <w:sz w:val="18"/>
                <w:szCs w:val="18"/>
                <w:lang w:eastAsia="zh-CN"/>
              </w:rPr>
              <w:t>；</w:t>
            </w:r>
            <w:r>
              <w:rPr>
                <w:rFonts w:ascii="Times New Roman" w:hAnsi="Times New Roman" w:eastAsia="仿宋" w:cs="Times New Roman"/>
                <w:i/>
                <w:iCs/>
                <w:spacing w:val="9"/>
                <w:sz w:val="18"/>
                <w:szCs w:val="18"/>
              </w:rPr>
              <w:t>k</w:t>
            </w:r>
            <w:r>
              <w:rPr>
                <w:rFonts w:ascii="Times New Roman" w:hAnsi="Times New Roman" w:eastAsia="仿宋" w:cs="Times New Roman"/>
                <w:spacing w:val="9"/>
                <w:sz w:val="18"/>
                <w:szCs w:val="18"/>
              </w:rPr>
              <w:t>=2</w:t>
            </w:r>
            <w:r>
              <w:rPr>
                <w:rFonts w:hint="eastAsia" w:ascii="Times New Roman" w:hAnsi="Times New Roman" w:eastAsia="仿宋" w:cs="Times New Roman"/>
                <w:spacing w:val="9"/>
                <w:sz w:val="18"/>
                <w:szCs w:val="18"/>
                <w:lang w:eastAsia="zh-CN"/>
              </w:rPr>
              <w:t>，包含因子。</w:t>
            </w:r>
          </w:p>
        </w:tc>
      </w:tr>
    </w:tbl>
    <w:p w14:paraId="786A9306">
      <w:pPr>
        <w:pStyle w:val="14"/>
        <w:numPr>
          <w:ilvl w:val="1"/>
          <w:numId w:val="1"/>
        </w:numPr>
        <w:tabs>
          <w:tab w:val="left" w:pos="760"/>
          <w:tab w:val="left" w:pos="761"/>
        </w:tabs>
        <w:spacing w:before="5"/>
        <w:ind w:hanging="541"/>
        <w:rPr>
          <w:sz w:val="24"/>
          <w:szCs w:val="24"/>
        </w:rPr>
      </w:pPr>
      <w:r>
        <w:rPr>
          <w:spacing w:val="7"/>
          <w:sz w:val="24"/>
          <w:szCs w:val="24"/>
        </w:rPr>
        <w:t>碳排放计量器具数据传输要求</w:t>
      </w:r>
    </w:p>
    <w:p w14:paraId="177D8F84">
      <w:pPr>
        <w:spacing w:before="160" w:line="360" w:lineRule="auto"/>
        <w:ind w:left="221" w:right="726" w:firstLine="482"/>
        <w:rPr>
          <w:rFonts w:ascii="Times New Roman" w:hAnsi="Times New Roman" w:cs="Times New Roman"/>
          <w:spacing w:val="6"/>
          <w:sz w:val="24"/>
          <w:szCs w:val="24"/>
        </w:rPr>
      </w:pPr>
      <w:r>
        <w:rPr>
          <w:rFonts w:ascii="Times New Roman" w:hAnsi="Times New Roman" w:cs="Times New Roman"/>
          <w:spacing w:val="6"/>
          <w:sz w:val="24"/>
          <w:szCs w:val="24"/>
        </w:rPr>
        <w:t>具备远传功能的碳排放计量器具应能将数据传输至数据平台。</w:t>
      </w:r>
    </w:p>
    <w:p w14:paraId="48491692">
      <w:pPr>
        <w:pStyle w:val="14"/>
        <w:numPr>
          <w:ilvl w:val="1"/>
          <w:numId w:val="1"/>
        </w:numPr>
        <w:tabs>
          <w:tab w:val="left" w:pos="760"/>
          <w:tab w:val="left" w:pos="761"/>
        </w:tabs>
        <w:spacing w:before="5"/>
        <w:ind w:hanging="541"/>
        <w:rPr>
          <w:sz w:val="24"/>
          <w:szCs w:val="24"/>
        </w:rPr>
      </w:pPr>
      <w:r>
        <w:rPr>
          <w:spacing w:val="7"/>
          <w:sz w:val="24"/>
          <w:szCs w:val="24"/>
        </w:rPr>
        <w:t>碳排放直接测量计量器具 (系统) 配备要求</w:t>
      </w:r>
    </w:p>
    <w:p w14:paraId="57CAC019">
      <w:pPr>
        <w:spacing w:before="160" w:line="360" w:lineRule="auto"/>
        <w:ind w:left="221" w:right="726" w:firstLine="482"/>
        <w:rPr>
          <w:rFonts w:ascii="Times New Roman" w:hAnsi="Times New Roman" w:cs="Times New Roman"/>
          <w:spacing w:val="6"/>
          <w:sz w:val="24"/>
          <w:szCs w:val="24"/>
        </w:rPr>
      </w:pPr>
      <w:r>
        <w:rPr>
          <w:rFonts w:ascii="Times New Roman" w:hAnsi="Times New Roman" w:cs="Times New Roman"/>
          <w:spacing w:val="6"/>
          <w:sz w:val="24"/>
          <w:szCs w:val="24"/>
        </w:rPr>
        <w:t>为保证碳排放计量数据质量，碳排放直接测量计量器具 (系统) 测量参数最大允许误差可参照表 2 要求。</w:t>
      </w:r>
    </w:p>
    <w:p w14:paraId="2CFE46C6">
      <w:pPr>
        <w:spacing w:line="229" w:lineRule="auto"/>
        <w:ind w:left="1482"/>
        <w:rPr>
          <w:rFonts w:ascii="黑体" w:hAnsi="黑体" w:eastAsia="黑体" w:cs="黑体"/>
          <w:sz w:val="20"/>
          <w:szCs w:val="20"/>
        </w:rPr>
      </w:pPr>
      <w:r>
        <w:rPr>
          <w:rFonts w:ascii="黑体" w:hAnsi="黑体" w:eastAsia="黑体" w:cs="黑体"/>
          <w:spacing w:val="7"/>
          <w:sz w:val="20"/>
          <w:szCs w:val="20"/>
        </w:rPr>
        <w:t>表</w:t>
      </w:r>
      <w:r>
        <w:rPr>
          <w:rFonts w:ascii="Times New Roman" w:hAnsi="Times New Roman" w:eastAsia="Times New Roman" w:cs="Times New Roman"/>
          <w:spacing w:val="7"/>
          <w:sz w:val="20"/>
          <w:szCs w:val="20"/>
        </w:rPr>
        <w:t xml:space="preserve">2 </w:t>
      </w:r>
      <w:r>
        <w:rPr>
          <w:rFonts w:ascii="黑体" w:hAnsi="黑体" w:eastAsia="黑体" w:cs="黑体"/>
          <w:spacing w:val="7"/>
          <w:sz w:val="20"/>
          <w:szCs w:val="20"/>
        </w:rPr>
        <w:t>碳排放直接测量计量器具 (系统) 测量参数最大允许误差要</w:t>
      </w:r>
      <w:r>
        <w:rPr>
          <w:rFonts w:ascii="黑体" w:hAnsi="黑体" w:eastAsia="黑体" w:cs="黑体"/>
          <w:spacing w:val="3"/>
          <w:sz w:val="20"/>
          <w:szCs w:val="20"/>
        </w:rPr>
        <w:t>求</w:t>
      </w:r>
    </w:p>
    <w:p w14:paraId="6C0B92A6">
      <w:pPr>
        <w:spacing w:line="90" w:lineRule="exact"/>
      </w:pPr>
    </w:p>
    <w:tbl>
      <w:tblPr>
        <w:tblStyle w:val="15"/>
        <w:tblW w:w="7350" w:type="dxa"/>
        <w:tblInd w:w="83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50"/>
        <w:gridCol w:w="4200"/>
      </w:tblGrid>
      <w:tr w14:paraId="3B611E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150" w:type="dxa"/>
          </w:tcPr>
          <w:p w14:paraId="60A0A843">
            <w:pPr>
              <w:spacing w:before="150" w:line="228" w:lineRule="auto"/>
              <w:ind w:left="1163"/>
              <w:rPr>
                <w:sz w:val="20"/>
                <w:szCs w:val="20"/>
              </w:rPr>
            </w:pPr>
            <w:r>
              <w:rPr>
                <w:spacing w:val="7"/>
                <w:sz w:val="20"/>
                <w:szCs w:val="20"/>
              </w:rPr>
              <w:t>测量参数</w:t>
            </w:r>
          </w:p>
        </w:tc>
        <w:tc>
          <w:tcPr>
            <w:tcW w:w="4200" w:type="dxa"/>
          </w:tcPr>
          <w:p w14:paraId="7F26AE82">
            <w:pPr>
              <w:spacing w:before="150" w:line="228" w:lineRule="auto"/>
              <w:ind w:left="1478"/>
              <w:rPr>
                <w:sz w:val="20"/>
                <w:szCs w:val="20"/>
              </w:rPr>
            </w:pPr>
            <w:r>
              <w:rPr>
                <w:spacing w:val="8"/>
                <w:sz w:val="20"/>
                <w:szCs w:val="20"/>
              </w:rPr>
              <w:t>最大允许误</w:t>
            </w:r>
            <w:r>
              <w:rPr>
                <w:spacing w:val="7"/>
                <w:sz w:val="20"/>
                <w:szCs w:val="20"/>
              </w:rPr>
              <w:t>差</w:t>
            </w:r>
          </w:p>
        </w:tc>
      </w:tr>
      <w:tr w14:paraId="159011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150" w:type="dxa"/>
          </w:tcPr>
          <w:p w14:paraId="3A158CA5">
            <w:pPr>
              <w:spacing w:before="146" w:line="231" w:lineRule="auto"/>
              <w:ind w:left="1372"/>
              <w:rPr>
                <w:sz w:val="20"/>
                <w:szCs w:val="20"/>
              </w:rPr>
            </w:pPr>
            <w:r>
              <w:rPr>
                <w:spacing w:val="4"/>
                <w:sz w:val="20"/>
                <w:szCs w:val="20"/>
              </w:rPr>
              <w:t>流速</w:t>
            </w:r>
          </w:p>
        </w:tc>
        <w:tc>
          <w:tcPr>
            <w:tcW w:w="4200" w:type="dxa"/>
            <w:vAlign w:val="center"/>
          </w:tcPr>
          <w:p w14:paraId="2B7C0CC1">
            <w:pPr>
              <w:spacing w:before="108" w:line="281" w:lineRule="exact"/>
              <w:jc w:val="center"/>
              <w:rPr>
                <w:rFonts w:ascii="Times New Roman" w:hAnsi="Times New Roman" w:eastAsia="Times New Roman" w:cs="Times New Roman"/>
                <w:sz w:val="20"/>
                <w:szCs w:val="20"/>
              </w:rPr>
            </w:pPr>
            <w:r>
              <w:rPr>
                <w:rFonts w:ascii="Times New Roman" w:hAnsi="Times New Roman" w:eastAsia="Times New Roman" w:cs="Times New Roman"/>
                <w:spacing w:val="6"/>
                <w:position w:val="1"/>
                <w:sz w:val="20"/>
                <w:szCs w:val="20"/>
              </w:rPr>
              <w:t>±10%</w:t>
            </w:r>
          </w:p>
        </w:tc>
      </w:tr>
      <w:tr w14:paraId="11495C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150" w:type="dxa"/>
          </w:tcPr>
          <w:p w14:paraId="69CAECE7">
            <w:pPr>
              <w:spacing w:before="148" w:line="228" w:lineRule="auto"/>
              <w:ind w:left="1373"/>
              <w:rPr>
                <w:sz w:val="20"/>
                <w:szCs w:val="20"/>
              </w:rPr>
            </w:pPr>
            <w:r>
              <w:rPr>
                <w:spacing w:val="4"/>
                <w:sz w:val="20"/>
                <w:szCs w:val="20"/>
              </w:rPr>
              <w:t>温</w:t>
            </w:r>
            <w:r>
              <w:rPr>
                <w:spacing w:val="3"/>
                <w:sz w:val="20"/>
                <w:szCs w:val="20"/>
              </w:rPr>
              <w:t>度</w:t>
            </w:r>
          </w:p>
        </w:tc>
        <w:tc>
          <w:tcPr>
            <w:tcW w:w="4200" w:type="dxa"/>
          </w:tcPr>
          <w:p w14:paraId="175704A0">
            <w:pPr>
              <w:spacing w:before="110" w:line="281" w:lineRule="exact"/>
              <w:ind w:left="1878"/>
              <w:rPr>
                <w:rFonts w:ascii="Times New Roman" w:hAnsi="Times New Roman" w:eastAsia="Times New Roman" w:cs="Times New Roman"/>
                <w:sz w:val="20"/>
                <w:szCs w:val="20"/>
              </w:rPr>
            </w:pPr>
            <w:r>
              <w:rPr>
                <w:rFonts w:ascii="Times New Roman" w:hAnsi="Times New Roman" w:eastAsia="Times New Roman" w:cs="Times New Roman"/>
                <w:spacing w:val="8"/>
                <w:position w:val="2"/>
                <w:sz w:val="20"/>
                <w:szCs w:val="20"/>
              </w:rPr>
              <w:t>±</w:t>
            </w:r>
            <w:r>
              <w:rPr>
                <w:rFonts w:ascii="Times New Roman" w:hAnsi="Times New Roman" w:eastAsia="Times New Roman" w:cs="Times New Roman"/>
                <w:spacing w:val="6"/>
                <w:position w:val="2"/>
                <w:sz w:val="20"/>
                <w:szCs w:val="20"/>
              </w:rPr>
              <w:t>3℃</w:t>
            </w:r>
          </w:p>
        </w:tc>
      </w:tr>
      <w:tr w14:paraId="047740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150" w:type="dxa"/>
            <w:vMerge w:val="restart"/>
            <w:tcBorders>
              <w:bottom w:val="nil"/>
            </w:tcBorders>
          </w:tcPr>
          <w:p w14:paraId="531136C6">
            <w:pPr>
              <w:spacing w:line="304" w:lineRule="auto"/>
              <w:rPr>
                <w:rFonts w:ascii="Arial"/>
                <w:sz w:val="21"/>
              </w:rPr>
            </w:pPr>
          </w:p>
          <w:p w14:paraId="3EDD83F0">
            <w:pPr>
              <w:spacing w:before="65" w:line="227" w:lineRule="auto"/>
              <w:ind w:left="1163"/>
              <w:rPr>
                <w:sz w:val="20"/>
                <w:szCs w:val="20"/>
              </w:rPr>
            </w:pPr>
            <w:r>
              <w:rPr>
                <w:spacing w:val="7"/>
                <w:sz w:val="20"/>
                <w:szCs w:val="20"/>
              </w:rPr>
              <w:t>烟气湿度</w:t>
            </w:r>
          </w:p>
        </w:tc>
        <w:tc>
          <w:tcPr>
            <w:tcW w:w="4200" w:type="dxa"/>
          </w:tcPr>
          <w:p w14:paraId="01B748BE">
            <w:pPr>
              <w:spacing w:before="95" w:line="281" w:lineRule="exact"/>
              <w:ind w:left="508"/>
              <w:rPr>
                <w:sz w:val="20"/>
                <w:szCs w:val="20"/>
              </w:rPr>
            </w:pPr>
            <w:r>
              <w:rPr>
                <w:spacing w:val="8"/>
                <w:position w:val="1"/>
                <w:sz w:val="20"/>
                <w:szCs w:val="20"/>
              </w:rPr>
              <w:t>大</w:t>
            </w:r>
            <w:r>
              <w:rPr>
                <w:spacing w:val="4"/>
                <w:position w:val="1"/>
                <w:sz w:val="20"/>
                <w:szCs w:val="20"/>
              </w:rPr>
              <w:t xml:space="preserve">于 </w:t>
            </w:r>
            <w:r>
              <w:rPr>
                <w:rFonts w:ascii="Times New Roman" w:hAnsi="Times New Roman" w:eastAsia="Times New Roman" w:cs="Times New Roman"/>
                <w:spacing w:val="4"/>
                <w:position w:val="1"/>
                <w:sz w:val="20"/>
                <w:szCs w:val="20"/>
              </w:rPr>
              <w:t>5.0%</w:t>
            </w:r>
            <w:r>
              <w:rPr>
                <w:spacing w:val="4"/>
                <w:position w:val="1"/>
                <w:sz w:val="20"/>
                <w:szCs w:val="20"/>
              </w:rPr>
              <w:t>时，相对误差优于</w:t>
            </w:r>
            <w:r>
              <w:rPr>
                <w:rFonts w:ascii="Times New Roman" w:hAnsi="Times New Roman" w:eastAsia="Times New Roman" w:cs="Times New Roman"/>
                <w:spacing w:val="4"/>
                <w:position w:val="1"/>
                <w:sz w:val="20"/>
                <w:szCs w:val="20"/>
              </w:rPr>
              <w:t>±5%</w:t>
            </w:r>
            <w:r>
              <w:rPr>
                <w:spacing w:val="4"/>
                <w:position w:val="1"/>
                <w:sz w:val="20"/>
                <w:szCs w:val="20"/>
              </w:rPr>
              <w:t>；</w:t>
            </w:r>
          </w:p>
        </w:tc>
      </w:tr>
      <w:tr w14:paraId="063D09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150" w:type="dxa"/>
            <w:vMerge w:val="continue"/>
            <w:tcBorders>
              <w:top w:val="nil"/>
            </w:tcBorders>
          </w:tcPr>
          <w:p w14:paraId="7C758060">
            <w:pPr>
              <w:rPr>
                <w:rFonts w:ascii="Arial"/>
                <w:sz w:val="21"/>
              </w:rPr>
            </w:pPr>
          </w:p>
        </w:tc>
        <w:tc>
          <w:tcPr>
            <w:tcW w:w="4200" w:type="dxa"/>
          </w:tcPr>
          <w:p w14:paraId="428626AF">
            <w:pPr>
              <w:spacing w:before="95" w:line="281" w:lineRule="exact"/>
              <w:ind w:left="120"/>
              <w:rPr>
                <w:sz w:val="20"/>
                <w:szCs w:val="20"/>
              </w:rPr>
            </w:pPr>
            <w:r>
              <w:rPr>
                <w:spacing w:val="8"/>
                <w:position w:val="1"/>
                <w:sz w:val="20"/>
                <w:szCs w:val="20"/>
              </w:rPr>
              <w:t>小于等于</w:t>
            </w:r>
            <w:r>
              <w:rPr>
                <w:spacing w:val="6"/>
                <w:position w:val="1"/>
                <w:sz w:val="20"/>
                <w:szCs w:val="20"/>
              </w:rPr>
              <w:t xml:space="preserve"> </w:t>
            </w:r>
            <w:r>
              <w:rPr>
                <w:rFonts w:ascii="Times New Roman" w:hAnsi="Times New Roman" w:eastAsia="Times New Roman" w:cs="Times New Roman"/>
                <w:spacing w:val="4"/>
                <w:position w:val="1"/>
                <w:sz w:val="20"/>
                <w:szCs w:val="20"/>
              </w:rPr>
              <w:t>5.0%</w:t>
            </w:r>
            <w:r>
              <w:rPr>
                <w:spacing w:val="4"/>
                <w:position w:val="1"/>
                <w:sz w:val="20"/>
                <w:szCs w:val="20"/>
              </w:rPr>
              <w:t>时，绝对误差</w:t>
            </w:r>
            <w:r>
              <w:rPr>
                <w:rFonts w:hint="eastAsia"/>
                <w:spacing w:val="4"/>
                <w:position w:val="1"/>
                <w:sz w:val="20"/>
                <w:szCs w:val="20"/>
                <w:lang w:eastAsia="zh-CN"/>
              </w:rPr>
              <w:t>优于</w:t>
            </w:r>
            <w:r>
              <w:rPr>
                <w:rFonts w:ascii="Times New Roman" w:hAnsi="Times New Roman" w:eastAsia="Times New Roman" w:cs="Times New Roman"/>
                <w:spacing w:val="4"/>
                <w:position w:val="1"/>
                <w:sz w:val="20"/>
                <w:szCs w:val="20"/>
              </w:rPr>
              <w:t>±1.5%</w:t>
            </w:r>
            <w:r>
              <w:rPr>
                <w:spacing w:val="4"/>
                <w:position w:val="1"/>
                <w:sz w:val="20"/>
                <w:szCs w:val="20"/>
              </w:rPr>
              <w:t>。</w:t>
            </w:r>
          </w:p>
        </w:tc>
      </w:tr>
      <w:tr w14:paraId="20D1C5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150" w:type="dxa"/>
          </w:tcPr>
          <w:p w14:paraId="7917B82A">
            <w:pPr>
              <w:spacing w:before="149" w:line="228" w:lineRule="auto"/>
              <w:ind w:left="952"/>
              <w:rPr>
                <w:sz w:val="20"/>
                <w:szCs w:val="20"/>
              </w:rPr>
            </w:pPr>
            <w:r>
              <w:rPr>
                <w:spacing w:val="8"/>
                <w:sz w:val="20"/>
                <w:szCs w:val="20"/>
              </w:rPr>
              <w:t>烟道截面面积</w:t>
            </w:r>
          </w:p>
        </w:tc>
        <w:tc>
          <w:tcPr>
            <w:tcW w:w="4200" w:type="dxa"/>
          </w:tcPr>
          <w:p w14:paraId="271B9DD8">
            <w:pPr>
              <w:spacing w:before="111" w:line="281" w:lineRule="exact"/>
              <w:ind w:left="1900"/>
              <w:rPr>
                <w:rFonts w:ascii="Times New Roman" w:hAnsi="Times New Roman" w:eastAsia="Times New Roman" w:cs="Times New Roman"/>
                <w:sz w:val="20"/>
                <w:szCs w:val="20"/>
              </w:rPr>
            </w:pPr>
            <w:r>
              <w:rPr>
                <w:rFonts w:ascii="Times New Roman" w:hAnsi="Times New Roman" w:eastAsia="Times New Roman" w:cs="Times New Roman"/>
                <w:spacing w:val="-9"/>
                <w:position w:val="2"/>
                <w:sz w:val="20"/>
                <w:szCs w:val="20"/>
              </w:rPr>
              <w:t>±</w:t>
            </w:r>
            <w:r>
              <w:rPr>
                <w:rFonts w:ascii="Times New Roman" w:hAnsi="Times New Roman" w:eastAsia="Times New Roman" w:cs="Times New Roman"/>
                <w:spacing w:val="-8"/>
                <w:position w:val="2"/>
                <w:sz w:val="20"/>
                <w:szCs w:val="20"/>
              </w:rPr>
              <w:t xml:space="preserve"> 1%</w:t>
            </w:r>
          </w:p>
        </w:tc>
      </w:tr>
      <w:tr w14:paraId="7C0226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150" w:type="dxa"/>
          </w:tcPr>
          <w:p w14:paraId="723A82D3">
            <w:pPr>
              <w:spacing w:before="149" w:line="227" w:lineRule="auto"/>
              <w:ind w:left="954"/>
              <w:rPr>
                <w:sz w:val="20"/>
                <w:szCs w:val="20"/>
              </w:rPr>
            </w:pPr>
            <w:r>
              <w:rPr>
                <w:spacing w:val="11"/>
                <w:sz w:val="20"/>
                <w:szCs w:val="20"/>
              </w:rPr>
              <w:t>二</w:t>
            </w:r>
            <w:r>
              <w:rPr>
                <w:spacing w:val="7"/>
                <w:sz w:val="20"/>
                <w:szCs w:val="20"/>
              </w:rPr>
              <w:t>氧化碳浓度</w:t>
            </w:r>
          </w:p>
        </w:tc>
        <w:tc>
          <w:tcPr>
            <w:tcW w:w="4200" w:type="dxa"/>
          </w:tcPr>
          <w:p w14:paraId="54490FC7">
            <w:pPr>
              <w:spacing w:before="111" w:line="281" w:lineRule="exact"/>
              <w:ind w:left="1703"/>
              <w:rPr>
                <w:rFonts w:ascii="Times New Roman" w:hAnsi="Times New Roman" w:eastAsia="Times New Roman" w:cs="Times New Roman"/>
                <w:sz w:val="20"/>
                <w:szCs w:val="20"/>
              </w:rPr>
            </w:pPr>
            <w:r>
              <w:rPr>
                <w:rFonts w:ascii="Times New Roman" w:hAnsi="Times New Roman" w:eastAsia="Times New Roman" w:cs="Times New Roman"/>
                <w:spacing w:val="9"/>
                <w:position w:val="2"/>
                <w:sz w:val="20"/>
                <w:szCs w:val="20"/>
              </w:rPr>
              <w:t>±</w:t>
            </w:r>
            <w:r>
              <w:rPr>
                <w:rFonts w:ascii="Times New Roman" w:hAnsi="Times New Roman" w:eastAsia="Times New Roman" w:cs="Times New Roman"/>
                <w:spacing w:val="6"/>
                <w:position w:val="2"/>
                <w:sz w:val="20"/>
                <w:szCs w:val="20"/>
              </w:rPr>
              <w:t>2.5%</w:t>
            </w:r>
            <w:r>
              <w:rPr>
                <w:rFonts w:ascii="Times New Roman" w:hAnsi="Times New Roman" w:eastAsia="Times New Roman" w:cs="Times New Roman"/>
                <w:position w:val="2"/>
                <w:sz w:val="20"/>
                <w:szCs w:val="20"/>
              </w:rPr>
              <w:t>FS</w:t>
            </w:r>
          </w:p>
        </w:tc>
      </w:tr>
      <w:tr w14:paraId="084024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3150" w:type="dxa"/>
          </w:tcPr>
          <w:p w14:paraId="37665C8B">
            <w:pPr>
              <w:spacing w:before="151" w:line="228" w:lineRule="auto"/>
              <w:ind w:left="1189"/>
              <w:rPr>
                <w:sz w:val="20"/>
                <w:szCs w:val="20"/>
              </w:rPr>
            </w:pPr>
            <w:r>
              <w:rPr>
                <w:spacing w:val="1"/>
                <w:sz w:val="20"/>
                <w:szCs w:val="20"/>
              </w:rPr>
              <w:t>甲烷</w:t>
            </w:r>
            <w:r>
              <w:rPr>
                <w:sz w:val="20"/>
                <w:szCs w:val="20"/>
              </w:rPr>
              <w:t>浓度</w:t>
            </w:r>
          </w:p>
        </w:tc>
        <w:tc>
          <w:tcPr>
            <w:tcW w:w="4200" w:type="dxa"/>
          </w:tcPr>
          <w:p w14:paraId="14402F3A">
            <w:pPr>
              <w:spacing w:before="113" w:line="281" w:lineRule="exact"/>
              <w:ind w:left="1782"/>
              <w:rPr>
                <w:rFonts w:ascii="Times New Roman" w:hAnsi="Times New Roman" w:eastAsia="Times New Roman" w:cs="Times New Roman"/>
                <w:sz w:val="20"/>
                <w:szCs w:val="20"/>
              </w:rPr>
            </w:pPr>
            <w:r>
              <w:rPr>
                <w:rFonts w:ascii="Times New Roman" w:hAnsi="Times New Roman" w:eastAsia="Times New Roman" w:cs="Times New Roman"/>
                <w:spacing w:val="9"/>
                <w:position w:val="2"/>
                <w:sz w:val="20"/>
                <w:szCs w:val="20"/>
              </w:rPr>
              <w:t>±</w:t>
            </w:r>
            <w:r>
              <w:rPr>
                <w:rFonts w:ascii="Times New Roman" w:hAnsi="Times New Roman" w:eastAsia="Times New Roman" w:cs="Times New Roman"/>
                <w:spacing w:val="8"/>
                <w:position w:val="2"/>
                <w:sz w:val="20"/>
                <w:szCs w:val="20"/>
              </w:rPr>
              <w:t>2%</w:t>
            </w:r>
            <w:r>
              <w:rPr>
                <w:rFonts w:ascii="Times New Roman" w:hAnsi="Times New Roman" w:eastAsia="Times New Roman" w:cs="Times New Roman"/>
                <w:position w:val="2"/>
                <w:sz w:val="20"/>
                <w:szCs w:val="20"/>
              </w:rPr>
              <w:t>FS</w:t>
            </w:r>
          </w:p>
        </w:tc>
      </w:tr>
    </w:tbl>
    <w:p w14:paraId="66A2EE99">
      <w:pPr>
        <w:pStyle w:val="5"/>
        <w:rPr>
          <w:sz w:val="20"/>
          <w:lang w:eastAsia="zh-CN"/>
        </w:rPr>
      </w:pPr>
    </w:p>
    <w:p w14:paraId="107F760D">
      <w:pPr>
        <w:pStyle w:val="14"/>
        <w:numPr>
          <w:ilvl w:val="1"/>
          <w:numId w:val="1"/>
        </w:numPr>
        <w:tabs>
          <w:tab w:val="left" w:pos="760"/>
          <w:tab w:val="left" w:pos="761"/>
        </w:tabs>
        <w:spacing w:before="5"/>
        <w:ind w:hanging="541"/>
        <w:rPr>
          <w:sz w:val="24"/>
          <w:szCs w:val="24"/>
        </w:rPr>
      </w:pPr>
      <w:r>
        <w:rPr>
          <w:spacing w:val="8"/>
          <w:sz w:val="24"/>
          <w:szCs w:val="24"/>
        </w:rPr>
        <w:t>碳排放量燃料端核算计量器具配备要</w:t>
      </w:r>
      <w:r>
        <w:rPr>
          <w:spacing w:val="7"/>
          <w:sz w:val="24"/>
          <w:szCs w:val="24"/>
        </w:rPr>
        <w:t>求</w:t>
      </w:r>
    </w:p>
    <w:p w14:paraId="7AD8433F">
      <w:pPr>
        <w:spacing w:before="160" w:line="360" w:lineRule="auto"/>
        <w:ind w:left="567"/>
        <w:rPr>
          <w:sz w:val="24"/>
          <w:szCs w:val="24"/>
        </w:rPr>
      </w:pPr>
      <w:r>
        <w:rPr>
          <w:rFonts w:ascii="Times New Roman" w:hAnsi="Times New Roman" w:cs="Times New Roman"/>
          <w:spacing w:val="5"/>
          <w:sz w:val="24"/>
          <w:szCs w:val="24"/>
          <w:lang w:eastAsia="zh-CN"/>
        </w:rPr>
        <w:t xml:space="preserve">5.4.1 </w:t>
      </w:r>
      <w:r>
        <w:rPr>
          <w:spacing w:val="5"/>
          <w:sz w:val="24"/>
          <w:szCs w:val="24"/>
        </w:rPr>
        <w:t>碳排放量燃料端核算计量器具配备</w:t>
      </w:r>
      <w:r>
        <w:rPr>
          <w:sz w:val="24"/>
          <w:szCs w:val="24"/>
        </w:rPr>
        <w:t>率</w:t>
      </w:r>
    </w:p>
    <w:p w14:paraId="6FE639F9">
      <w:pPr>
        <w:spacing w:before="160" w:line="360" w:lineRule="auto"/>
        <w:ind w:left="221" w:right="726" w:firstLine="482"/>
        <w:rPr>
          <w:rFonts w:ascii="Times New Roman" w:hAnsi="Times New Roman" w:cs="Times New Roman"/>
          <w:spacing w:val="6"/>
          <w:sz w:val="24"/>
          <w:szCs w:val="24"/>
        </w:rPr>
      </w:pPr>
      <w:r>
        <w:rPr>
          <w:rFonts w:ascii="Times New Roman" w:hAnsi="Times New Roman" w:cs="Times New Roman"/>
          <w:spacing w:val="6"/>
          <w:sz w:val="24"/>
          <w:szCs w:val="24"/>
        </w:rPr>
        <w:t>企业对碳排放核算 (核查) 中使用的所有计量数据，均应识别其来源，应满足开展碳排放核算 (核查) 的要求，由企业计量器具测量获得的数据，应保证其数据质量。碳排放量燃料端核算计量器具配备率应满足表 3 要求。</w:t>
      </w:r>
    </w:p>
    <w:p w14:paraId="3C4EB888">
      <w:pPr>
        <w:spacing w:before="1" w:line="228" w:lineRule="auto"/>
        <w:jc w:val="center"/>
        <w:rPr>
          <w:rFonts w:ascii="黑体" w:hAnsi="黑体" w:eastAsia="黑体" w:cs="黑体"/>
          <w:sz w:val="20"/>
          <w:szCs w:val="20"/>
        </w:rPr>
      </w:pPr>
      <w:r>
        <w:rPr>
          <w:rFonts w:ascii="黑体" w:hAnsi="黑体" w:eastAsia="黑体" w:cs="黑体"/>
          <w:spacing w:val="6"/>
          <w:sz w:val="20"/>
          <w:szCs w:val="20"/>
        </w:rPr>
        <w:t>表</w:t>
      </w:r>
      <w:r>
        <w:rPr>
          <w:rFonts w:ascii="Times New Roman" w:hAnsi="Times New Roman" w:eastAsia="Times New Roman" w:cs="Times New Roman"/>
          <w:spacing w:val="6"/>
          <w:sz w:val="20"/>
          <w:szCs w:val="20"/>
        </w:rPr>
        <w:t xml:space="preserve">3  </w:t>
      </w:r>
      <w:r>
        <w:rPr>
          <w:rFonts w:ascii="黑体" w:hAnsi="黑体" w:eastAsia="黑体" w:cs="黑体"/>
          <w:spacing w:val="6"/>
          <w:sz w:val="20"/>
          <w:szCs w:val="20"/>
        </w:rPr>
        <w:t>碳排放量燃料端核算计量器具配备率要</w:t>
      </w:r>
      <w:r>
        <w:rPr>
          <w:rFonts w:ascii="黑体" w:hAnsi="黑体" w:eastAsia="黑体" w:cs="黑体"/>
          <w:spacing w:val="4"/>
          <w:sz w:val="20"/>
          <w:szCs w:val="20"/>
        </w:rPr>
        <w:t>求</w:t>
      </w:r>
    </w:p>
    <w:p w14:paraId="71017E89">
      <w:pPr>
        <w:spacing w:line="91" w:lineRule="exact"/>
      </w:pPr>
    </w:p>
    <w:tbl>
      <w:tblPr>
        <w:tblStyle w:val="15"/>
        <w:tblW w:w="821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34"/>
        <w:gridCol w:w="1306"/>
        <w:gridCol w:w="1294"/>
        <w:gridCol w:w="1285"/>
        <w:gridCol w:w="1391"/>
        <w:gridCol w:w="1300"/>
      </w:tblGrid>
      <w:tr w14:paraId="059F57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2" w:hRule="atLeast"/>
          <w:jc w:val="center"/>
        </w:trPr>
        <w:tc>
          <w:tcPr>
            <w:tcW w:w="4234" w:type="dxa"/>
            <w:gridSpan w:val="3"/>
          </w:tcPr>
          <w:p w14:paraId="53FFE899">
            <w:pPr>
              <w:spacing w:before="168" w:line="228" w:lineRule="auto"/>
              <w:ind w:left="1706"/>
              <w:rPr>
                <w:rFonts w:ascii="Times New Roman" w:hAnsi="Times New Roman" w:cs="Times New Roman"/>
                <w:sz w:val="18"/>
                <w:szCs w:val="18"/>
              </w:rPr>
            </w:pPr>
            <w:r>
              <w:rPr>
                <w:rFonts w:ascii="Times New Roman" w:hAnsi="Times New Roman" w:cs="Times New Roman"/>
                <w:spacing w:val="8"/>
                <w:sz w:val="18"/>
                <w:szCs w:val="18"/>
              </w:rPr>
              <w:t>活</w:t>
            </w:r>
            <w:r>
              <w:rPr>
                <w:rFonts w:ascii="Times New Roman" w:hAnsi="Times New Roman" w:cs="Times New Roman"/>
                <w:spacing w:val="6"/>
                <w:sz w:val="18"/>
                <w:szCs w:val="18"/>
              </w:rPr>
              <w:t>动数据</w:t>
            </w:r>
          </w:p>
        </w:tc>
        <w:tc>
          <w:tcPr>
            <w:tcW w:w="3976" w:type="dxa"/>
            <w:gridSpan w:val="3"/>
          </w:tcPr>
          <w:p w14:paraId="089257A9">
            <w:pPr>
              <w:spacing w:before="169" w:line="228" w:lineRule="auto"/>
              <w:ind w:left="1572"/>
              <w:rPr>
                <w:rFonts w:ascii="Times New Roman" w:hAnsi="Times New Roman" w:cs="Times New Roman"/>
                <w:sz w:val="18"/>
                <w:szCs w:val="18"/>
              </w:rPr>
            </w:pPr>
            <w:r>
              <w:rPr>
                <w:rFonts w:ascii="Times New Roman" w:hAnsi="Times New Roman" w:cs="Times New Roman"/>
                <w:spacing w:val="8"/>
                <w:sz w:val="18"/>
                <w:szCs w:val="18"/>
              </w:rPr>
              <w:t>排</w:t>
            </w:r>
            <w:r>
              <w:rPr>
                <w:rFonts w:ascii="Times New Roman" w:hAnsi="Times New Roman" w:cs="Times New Roman"/>
                <w:spacing w:val="7"/>
                <w:sz w:val="18"/>
                <w:szCs w:val="18"/>
              </w:rPr>
              <w:t>放因子</w:t>
            </w:r>
          </w:p>
        </w:tc>
      </w:tr>
      <w:tr w14:paraId="60F01A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634" w:type="dxa"/>
            <w:vAlign w:val="center"/>
          </w:tcPr>
          <w:p w14:paraId="4748E56B">
            <w:pPr>
              <w:spacing w:before="131"/>
              <w:ind w:left="195"/>
              <w:jc w:val="center"/>
              <w:rPr>
                <w:rFonts w:ascii="Times New Roman" w:hAnsi="Times New Roman" w:cs="Times New Roman"/>
                <w:sz w:val="18"/>
                <w:szCs w:val="18"/>
              </w:rPr>
            </w:pPr>
            <w:r>
              <w:rPr>
                <w:rFonts w:ascii="Times New Roman" w:hAnsi="Times New Roman" w:cs="Times New Roman"/>
                <w:spacing w:val="8"/>
                <w:position w:val="20"/>
                <w:sz w:val="18"/>
                <w:szCs w:val="18"/>
              </w:rPr>
              <w:t>主要碳源流</w:t>
            </w:r>
            <w:r>
              <w:rPr>
                <w:rFonts w:ascii="Times New Roman" w:hAnsi="Times New Roman" w:cs="Times New Roman"/>
                <w:spacing w:val="7"/>
                <w:position w:val="20"/>
                <w:sz w:val="18"/>
                <w:szCs w:val="18"/>
              </w:rPr>
              <w:t>配</w:t>
            </w:r>
          </w:p>
          <w:p w14:paraId="05B407F0">
            <w:pPr>
              <w:ind w:left="351"/>
              <w:jc w:val="center"/>
              <w:rPr>
                <w:rFonts w:ascii="Times New Roman" w:hAnsi="Times New Roman" w:cs="Times New Roman"/>
                <w:sz w:val="18"/>
                <w:szCs w:val="18"/>
              </w:rPr>
            </w:pPr>
            <w:r>
              <w:rPr>
                <w:rFonts w:ascii="Times New Roman" w:hAnsi="Times New Roman" w:cs="Times New Roman"/>
                <w:spacing w:val="5"/>
                <w:sz w:val="18"/>
                <w:szCs w:val="18"/>
              </w:rPr>
              <w:t>备</w:t>
            </w:r>
            <w:r>
              <w:rPr>
                <w:rFonts w:ascii="Times New Roman" w:hAnsi="Times New Roman" w:cs="Times New Roman"/>
                <w:spacing w:val="4"/>
                <w:sz w:val="18"/>
                <w:szCs w:val="18"/>
              </w:rPr>
              <w:t>率 (%)</w:t>
            </w:r>
          </w:p>
        </w:tc>
        <w:tc>
          <w:tcPr>
            <w:tcW w:w="1306" w:type="dxa"/>
            <w:vAlign w:val="center"/>
          </w:tcPr>
          <w:p w14:paraId="397B3ECD">
            <w:pPr>
              <w:spacing w:before="131"/>
              <w:ind w:left="136"/>
              <w:jc w:val="center"/>
              <w:rPr>
                <w:rFonts w:ascii="Times New Roman" w:hAnsi="Times New Roman" w:cs="Times New Roman"/>
                <w:sz w:val="18"/>
                <w:szCs w:val="18"/>
              </w:rPr>
            </w:pPr>
            <w:r>
              <w:rPr>
                <w:rFonts w:ascii="Times New Roman" w:hAnsi="Times New Roman" w:cs="Times New Roman"/>
                <w:spacing w:val="7"/>
                <w:position w:val="20"/>
                <w:sz w:val="18"/>
                <w:szCs w:val="18"/>
              </w:rPr>
              <w:t>次要碳源流</w:t>
            </w:r>
          </w:p>
          <w:p w14:paraId="53A4DF6F">
            <w:pPr>
              <w:ind w:left="112"/>
              <w:jc w:val="center"/>
              <w:rPr>
                <w:rFonts w:ascii="Times New Roman" w:hAnsi="Times New Roman" w:cs="Times New Roman"/>
                <w:sz w:val="18"/>
                <w:szCs w:val="18"/>
              </w:rPr>
            </w:pPr>
            <w:r>
              <w:rPr>
                <w:rFonts w:ascii="Times New Roman" w:hAnsi="Times New Roman" w:cs="Times New Roman"/>
                <w:spacing w:val="6"/>
                <w:sz w:val="18"/>
                <w:szCs w:val="18"/>
              </w:rPr>
              <w:t>配</w:t>
            </w:r>
            <w:r>
              <w:rPr>
                <w:rFonts w:ascii="Times New Roman" w:hAnsi="Times New Roman" w:cs="Times New Roman"/>
                <w:spacing w:val="5"/>
                <w:sz w:val="18"/>
                <w:szCs w:val="18"/>
              </w:rPr>
              <w:t>备率 (%)</w:t>
            </w:r>
          </w:p>
        </w:tc>
        <w:tc>
          <w:tcPr>
            <w:tcW w:w="1294" w:type="dxa"/>
            <w:vAlign w:val="center"/>
          </w:tcPr>
          <w:p w14:paraId="1736E8B3">
            <w:pPr>
              <w:spacing w:before="131"/>
              <w:ind w:left="126"/>
              <w:jc w:val="center"/>
              <w:rPr>
                <w:rFonts w:ascii="Times New Roman" w:hAnsi="Times New Roman" w:cs="Times New Roman"/>
                <w:sz w:val="18"/>
                <w:szCs w:val="18"/>
              </w:rPr>
            </w:pPr>
            <w:r>
              <w:rPr>
                <w:rFonts w:ascii="Times New Roman" w:hAnsi="Times New Roman" w:cs="Times New Roman"/>
                <w:spacing w:val="8"/>
                <w:position w:val="20"/>
                <w:sz w:val="18"/>
                <w:szCs w:val="18"/>
              </w:rPr>
              <w:t>微量碳源流</w:t>
            </w:r>
          </w:p>
          <w:p w14:paraId="6E1968A8">
            <w:pPr>
              <w:ind w:left="111"/>
              <w:jc w:val="center"/>
              <w:rPr>
                <w:rFonts w:ascii="Times New Roman" w:hAnsi="Times New Roman" w:cs="Times New Roman"/>
                <w:sz w:val="18"/>
                <w:szCs w:val="18"/>
              </w:rPr>
            </w:pPr>
            <w:r>
              <w:rPr>
                <w:rFonts w:ascii="Times New Roman" w:hAnsi="Times New Roman" w:cs="Times New Roman"/>
                <w:spacing w:val="6"/>
                <w:sz w:val="18"/>
                <w:szCs w:val="18"/>
              </w:rPr>
              <w:t>配</w:t>
            </w:r>
            <w:r>
              <w:rPr>
                <w:rFonts w:ascii="Times New Roman" w:hAnsi="Times New Roman" w:cs="Times New Roman"/>
                <w:spacing w:val="5"/>
                <w:sz w:val="18"/>
                <w:szCs w:val="18"/>
              </w:rPr>
              <w:t>备率 (%)</w:t>
            </w:r>
          </w:p>
        </w:tc>
        <w:tc>
          <w:tcPr>
            <w:tcW w:w="1285" w:type="dxa"/>
            <w:vAlign w:val="center"/>
          </w:tcPr>
          <w:p w14:paraId="2FDE40A8">
            <w:pPr>
              <w:spacing w:before="131" w:line="240" w:lineRule="atLeast"/>
              <w:ind w:left="125"/>
              <w:jc w:val="center"/>
              <w:rPr>
                <w:rFonts w:ascii="Times New Roman" w:hAnsi="Times New Roman" w:cs="Times New Roman"/>
                <w:sz w:val="18"/>
                <w:szCs w:val="18"/>
              </w:rPr>
            </w:pPr>
            <w:r>
              <w:rPr>
                <w:rFonts w:ascii="Times New Roman" w:hAnsi="Times New Roman" w:cs="Times New Roman"/>
                <w:spacing w:val="8"/>
                <w:position w:val="20"/>
                <w:sz w:val="18"/>
                <w:szCs w:val="18"/>
              </w:rPr>
              <w:t>主要碳源</w:t>
            </w:r>
            <w:r>
              <w:rPr>
                <w:rFonts w:ascii="Times New Roman" w:hAnsi="Times New Roman" w:cs="Times New Roman"/>
                <w:spacing w:val="7"/>
                <w:position w:val="20"/>
                <w:sz w:val="18"/>
                <w:szCs w:val="18"/>
              </w:rPr>
              <w:t>流</w:t>
            </w:r>
          </w:p>
          <w:p w14:paraId="78986FA7">
            <w:pPr>
              <w:spacing w:line="240" w:lineRule="atLeast"/>
              <w:ind w:left="113"/>
              <w:jc w:val="center"/>
              <w:rPr>
                <w:rFonts w:ascii="Times New Roman" w:hAnsi="Times New Roman" w:cs="Times New Roman"/>
                <w:sz w:val="18"/>
                <w:szCs w:val="18"/>
              </w:rPr>
            </w:pPr>
            <w:r>
              <w:rPr>
                <w:rFonts w:ascii="Times New Roman" w:hAnsi="Times New Roman" w:cs="Times New Roman"/>
                <w:spacing w:val="6"/>
                <w:sz w:val="18"/>
                <w:szCs w:val="18"/>
              </w:rPr>
              <w:t>配</w:t>
            </w:r>
            <w:r>
              <w:rPr>
                <w:rFonts w:ascii="Times New Roman" w:hAnsi="Times New Roman" w:cs="Times New Roman"/>
                <w:spacing w:val="5"/>
                <w:sz w:val="18"/>
                <w:szCs w:val="18"/>
              </w:rPr>
              <w:t>备率 (%)</w:t>
            </w:r>
          </w:p>
        </w:tc>
        <w:tc>
          <w:tcPr>
            <w:tcW w:w="1391" w:type="dxa"/>
            <w:vAlign w:val="center"/>
          </w:tcPr>
          <w:p w14:paraId="3D777D9A">
            <w:pPr>
              <w:spacing w:before="131"/>
              <w:ind w:left="183"/>
              <w:jc w:val="center"/>
              <w:rPr>
                <w:rFonts w:ascii="Times New Roman" w:hAnsi="Times New Roman" w:cs="Times New Roman"/>
                <w:sz w:val="18"/>
                <w:szCs w:val="18"/>
              </w:rPr>
            </w:pPr>
            <w:r>
              <w:rPr>
                <w:rFonts w:ascii="Times New Roman" w:hAnsi="Times New Roman" w:cs="Times New Roman"/>
                <w:spacing w:val="7"/>
                <w:position w:val="20"/>
                <w:sz w:val="18"/>
                <w:szCs w:val="18"/>
              </w:rPr>
              <w:t>次要碳源流</w:t>
            </w:r>
          </w:p>
          <w:p w14:paraId="7785B70D">
            <w:pPr>
              <w:ind w:left="124"/>
              <w:jc w:val="center"/>
              <w:rPr>
                <w:rFonts w:ascii="Times New Roman" w:hAnsi="Times New Roman" w:cs="Times New Roman"/>
                <w:sz w:val="18"/>
                <w:szCs w:val="18"/>
              </w:rPr>
            </w:pPr>
            <w:r>
              <w:rPr>
                <w:rFonts w:ascii="Times New Roman" w:hAnsi="Times New Roman" w:cs="Times New Roman"/>
                <w:spacing w:val="6"/>
                <w:sz w:val="18"/>
                <w:szCs w:val="18"/>
              </w:rPr>
              <w:t>配</w:t>
            </w:r>
            <w:r>
              <w:rPr>
                <w:rFonts w:ascii="Times New Roman" w:hAnsi="Times New Roman" w:cs="Times New Roman"/>
                <w:spacing w:val="5"/>
                <w:sz w:val="18"/>
                <w:szCs w:val="18"/>
              </w:rPr>
              <w:t>备率 (%)</w:t>
            </w:r>
          </w:p>
        </w:tc>
        <w:tc>
          <w:tcPr>
            <w:tcW w:w="1300" w:type="dxa"/>
            <w:vAlign w:val="center"/>
          </w:tcPr>
          <w:p w14:paraId="45AF3167">
            <w:pPr>
              <w:spacing w:before="131"/>
              <w:ind w:left="130"/>
              <w:jc w:val="center"/>
              <w:rPr>
                <w:rFonts w:ascii="Times New Roman" w:hAnsi="Times New Roman" w:cs="Times New Roman"/>
                <w:sz w:val="18"/>
                <w:szCs w:val="18"/>
              </w:rPr>
            </w:pPr>
            <w:r>
              <w:rPr>
                <w:rFonts w:ascii="Times New Roman" w:hAnsi="Times New Roman" w:cs="Times New Roman"/>
                <w:spacing w:val="8"/>
                <w:position w:val="20"/>
                <w:sz w:val="18"/>
                <w:szCs w:val="18"/>
              </w:rPr>
              <w:t>微量碳源流</w:t>
            </w:r>
          </w:p>
          <w:p w14:paraId="49F2C17B">
            <w:pPr>
              <w:ind w:left="116"/>
              <w:jc w:val="center"/>
              <w:rPr>
                <w:rFonts w:ascii="Times New Roman" w:hAnsi="Times New Roman" w:cs="Times New Roman"/>
                <w:sz w:val="18"/>
                <w:szCs w:val="18"/>
              </w:rPr>
            </w:pPr>
            <w:r>
              <w:rPr>
                <w:rFonts w:ascii="Times New Roman" w:hAnsi="Times New Roman" w:cs="Times New Roman"/>
                <w:spacing w:val="6"/>
                <w:sz w:val="18"/>
                <w:szCs w:val="18"/>
              </w:rPr>
              <w:t>配</w:t>
            </w:r>
            <w:r>
              <w:rPr>
                <w:rFonts w:ascii="Times New Roman" w:hAnsi="Times New Roman" w:cs="Times New Roman"/>
                <w:spacing w:val="5"/>
                <w:sz w:val="18"/>
                <w:szCs w:val="18"/>
              </w:rPr>
              <w:t>备率 (%)</w:t>
            </w:r>
          </w:p>
        </w:tc>
      </w:tr>
      <w:tr w14:paraId="5FF94B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634" w:type="dxa"/>
          </w:tcPr>
          <w:p w14:paraId="4A8411BF">
            <w:pPr>
              <w:spacing w:before="168" w:line="195" w:lineRule="auto"/>
              <w:ind w:left="680"/>
              <w:rPr>
                <w:rFonts w:ascii="Times New Roman" w:hAnsi="Times New Roman" w:cs="Times New Roman"/>
                <w:sz w:val="18"/>
                <w:szCs w:val="18"/>
              </w:rPr>
            </w:pPr>
            <w:r>
              <w:rPr>
                <w:rFonts w:ascii="Times New Roman" w:hAnsi="Times New Roman" w:cs="Times New Roman"/>
                <w:spacing w:val="-3"/>
                <w:sz w:val="18"/>
                <w:szCs w:val="18"/>
              </w:rPr>
              <w:t>100</w:t>
            </w:r>
          </w:p>
        </w:tc>
        <w:tc>
          <w:tcPr>
            <w:tcW w:w="1306" w:type="dxa"/>
          </w:tcPr>
          <w:p w14:paraId="0D5FF1BA">
            <w:pPr>
              <w:spacing w:before="168" w:line="195" w:lineRule="auto"/>
              <w:ind w:left="517"/>
              <w:rPr>
                <w:rFonts w:ascii="Times New Roman" w:hAnsi="Times New Roman" w:cs="Times New Roman"/>
                <w:sz w:val="18"/>
                <w:szCs w:val="18"/>
              </w:rPr>
            </w:pPr>
            <w:r>
              <w:rPr>
                <w:rFonts w:ascii="Times New Roman" w:hAnsi="Times New Roman" w:cs="Times New Roman"/>
                <w:spacing w:val="-3"/>
                <w:sz w:val="18"/>
                <w:szCs w:val="18"/>
              </w:rPr>
              <w:t>100</w:t>
            </w:r>
          </w:p>
        </w:tc>
        <w:tc>
          <w:tcPr>
            <w:tcW w:w="1294" w:type="dxa"/>
          </w:tcPr>
          <w:p w14:paraId="667AC328">
            <w:pPr>
              <w:spacing w:before="168" w:line="195" w:lineRule="auto"/>
              <w:ind w:left="546"/>
              <w:rPr>
                <w:rFonts w:ascii="Times New Roman" w:hAnsi="Times New Roman" w:cs="Times New Roman"/>
                <w:sz w:val="18"/>
                <w:szCs w:val="18"/>
              </w:rPr>
            </w:pPr>
            <w:r>
              <w:rPr>
                <w:rFonts w:ascii="Times New Roman" w:hAnsi="Times New Roman" w:cs="Times New Roman"/>
                <w:spacing w:val="1"/>
                <w:sz w:val="18"/>
                <w:szCs w:val="18"/>
              </w:rPr>
              <w:t>6</w:t>
            </w:r>
            <w:r>
              <w:rPr>
                <w:rFonts w:ascii="Times New Roman" w:hAnsi="Times New Roman" w:cs="Times New Roman"/>
                <w:sz w:val="18"/>
                <w:szCs w:val="18"/>
              </w:rPr>
              <w:t>0</w:t>
            </w:r>
          </w:p>
        </w:tc>
        <w:tc>
          <w:tcPr>
            <w:tcW w:w="1285" w:type="dxa"/>
          </w:tcPr>
          <w:p w14:paraId="5AC199B6">
            <w:pPr>
              <w:spacing w:before="168" w:line="195" w:lineRule="auto"/>
              <w:ind w:left="506"/>
              <w:rPr>
                <w:rFonts w:ascii="Times New Roman" w:hAnsi="Times New Roman" w:cs="Times New Roman"/>
                <w:sz w:val="18"/>
                <w:szCs w:val="18"/>
              </w:rPr>
            </w:pPr>
            <w:r>
              <w:rPr>
                <w:rFonts w:ascii="Times New Roman" w:hAnsi="Times New Roman" w:cs="Times New Roman"/>
                <w:spacing w:val="-3"/>
                <w:sz w:val="18"/>
                <w:szCs w:val="18"/>
              </w:rPr>
              <w:t>100</w:t>
            </w:r>
          </w:p>
        </w:tc>
        <w:tc>
          <w:tcPr>
            <w:tcW w:w="1391" w:type="dxa"/>
          </w:tcPr>
          <w:p w14:paraId="18654313">
            <w:pPr>
              <w:spacing w:before="168" w:line="195" w:lineRule="auto"/>
              <w:ind w:left="561"/>
              <w:rPr>
                <w:rFonts w:ascii="Times New Roman" w:hAnsi="Times New Roman" w:cs="Times New Roman"/>
                <w:sz w:val="18"/>
                <w:szCs w:val="18"/>
              </w:rPr>
            </w:pPr>
            <w:r>
              <w:rPr>
                <w:rFonts w:ascii="Times New Roman" w:hAnsi="Times New Roman" w:cs="Times New Roman"/>
                <w:spacing w:val="-3"/>
                <w:sz w:val="18"/>
                <w:szCs w:val="18"/>
              </w:rPr>
              <w:t>100</w:t>
            </w:r>
          </w:p>
        </w:tc>
        <w:tc>
          <w:tcPr>
            <w:tcW w:w="1300" w:type="dxa"/>
          </w:tcPr>
          <w:p w14:paraId="700051B1">
            <w:pPr>
              <w:spacing w:before="168" w:line="195" w:lineRule="auto"/>
              <w:ind w:left="551"/>
              <w:rPr>
                <w:rFonts w:ascii="Times New Roman" w:hAnsi="Times New Roman" w:cs="Times New Roman"/>
                <w:sz w:val="18"/>
                <w:szCs w:val="18"/>
              </w:rPr>
            </w:pPr>
            <w:r>
              <w:rPr>
                <w:rFonts w:ascii="Times New Roman" w:hAnsi="Times New Roman" w:cs="Times New Roman"/>
                <w:spacing w:val="1"/>
                <w:sz w:val="18"/>
                <w:szCs w:val="18"/>
              </w:rPr>
              <w:t>6</w:t>
            </w:r>
            <w:r>
              <w:rPr>
                <w:rFonts w:ascii="Times New Roman" w:hAnsi="Times New Roman" w:cs="Times New Roman"/>
                <w:sz w:val="18"/>
                <w:szCs w:val="18"/>
              </w:rPr>
              <w:t>0</w:t>
            </w:r>
          </w:p>
        </w:tc>
      </w:tr>
      <w:tr w14:paraId="46C80C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8210" w:type="dxa"/>
            <w:gridSpan w:val="6"/>
          </w:tcPr>
          <w:p w14:paraId="51065F4C">
            <w:pPr>
              <w:spacing w:before="149" w:line="232" w:lineRule="auto"/>
              <w:ind w:left="115"/>
              <w:rPr>
                <w:rFonts w:ascii="Times New Roman" w:hAnsi="Times New Roman" w:cs="Times New Roman"/>
                <w:sz w:val="18"/>
                <w:szCs w:val="18"/>
              </w:rPr>
            </w:pPr>
            <w:r>
              <w:rPr>
                <w:rFonts w:ascii="Times New Roman" w:hAnsi="Times New Roman" w:eastAsia="仿宋" w:cs="Times New Roman"/>
                <w:spacing w:val="18"/>
                <w:sz w:val="18"/>
                <w:szCs w:val="18"/>
              </w:rPr>
              <w:t>注</w:t>
            </w:r>
            <w:r>
              <w:rPr>
                <w:rFonts w:ascii="Times New Roman" w:hAnsi="Times New Roman" w:eastAsia="仿宋" w:cs="Times New Roman"/>
                <w:spacing w:val="17"/>
                <w:sz w:val="18"/>
                <w:szCs w:val="18"/>
              </w:rPr>
              <w:t>：</w:t>
            </w:r>
            <w:r>
              <w:rPr>
                <w:rFonts w:ascii="Times New Roman" w:hAnsi="Times New Roman" w:eastAsia="仿宋" w:cs="Times New Roman"/>
                <w:spacing w:val="9"/>
                <w:sz w:val="18"/>
                <w:szCs w:val="18"/>
              </w:rPr>
              <w:t>企业委托有相应资质的第三方测量，其排放因子计量器具配备率不做要求。</w:t>
            </w:r>
          </w:p>
        </w:tc>
      </w:tr>
    </w:tbl>
    <w:p w14:paraId="330CED92">
      <w:pPr>
        <w:spacing w:before="160" w:line="360" w:lineRule="auto"/>
        <w:ind w:left="567"/>
        <w:rPr>
          <w:sz w:val="24"/>
          <w:szCs w:val="24"/>
        </w:rPr>
      </w:pPr>
      <w:r>
        <w:rPr>
          <w:rFonts w:ascii="Times New Roman" w:hAnsi="Times New Roman" w:cs="Times New Roman"/>
          <w:spacing w:val="5"/>
          <w:sz w:val="24"/>
          <w:szCs w:val="24"/>
          <w:lang w:eastAsia="zh-CN"/>
        </w:rPr>
        <w:t>5.4.2</w:t>
      </w:r>
      <w:r>
        <w:rPr>
          <w:rFonts w:hint="eastAsia"/>
          <w:spacing w:val="5"/>
          <w:sz w:val="23"/>
          <w:szCs w:val="23"/>
          <w:lang w:eastAsia="zh-CN"/>
        </w:rPr>
        <w:t xml:space="preserve"> </w:t>
      </w:r>
      <w:r>
        <w:rPr>
          <w:spacing w:val="5"/>
          <w:sz w:val="24"/>
          <w:szCs w:val="24"/>
        </w:rPr>
        <w:t>碳排放计量器具配备率按下式计算：</w:t>
      </w:r>
    </w:p>
    <w:p w14:paraId="463D2D0F">
      <w:pPr>
        <w:spacing w:before="160" w:line="360" w:lineRule="auto"/>
        <w:ind w:left="221" w:right="726" w:firstLine="482"/>
        <w:rPr>
          <w:rFonts w:ascii="Times New Roman" w:hAnsi="Times New Roman" w:cs="Times New Roman"/>
          <w:spacing w:val="6"/>
          <w:sz w:val="24"/>
          <w:szCs w:val="24"/>
          <w:lang w:eastAsia="zh-CN"/>
        </w:rPr>
      </w:pPr>
      <w:r>
        <w:rPr>
          <w:rFonts w:ascii="Times New Roman" w:hAnsi="Times New Roman" w:cs="Times New Roman"/>
          <w:spacing w:val="6"/>
          <w:sz w:val="24"/>
          <w:szCs w:val="24"/>
        </w:rPr>
        <w:t>碳排放计量器具配备率按下式计算：</w:t>
      </w:r>
    </w:p>
    <w:p w14:paraId="542A15A1">
      <w:pPr>
        <w:pStyle w:val="5"/>
        <w:jc w:val="center"/>
        <w:rPr>
          <w:sz w:val="20"/>
          <w:lang w:eastAsia="zh-CN"/>
        </w:rPr>
      </w:pPr>
      <w:r>
        <w:rPr>
          <w:position w:val="-30"/>
        </w:rPr>
        <w:object>
          <v:shape id="_x0000_i1025" o:spt="75" type="#_x0000_t75" style="height:33.95pt;width:80.15pt;" o:ole="t" filled="f" o:preferrelative="t" stroked="f" coordsize="21600,21600">
            <v:path/>
            <v:fill on="f" focussize="0,0"/>
            <v:stroke on="f" joinstyle="miter"/>
            <v:imagedata r:id="rId15" o:title=""/>
            <o:lock v:ext="edit" aspectratio="t"/>
            <w10:wrap type="none"/>
            <w10:anchorlock/>
          </v:shape>
          <o:OLEObject Type="Embed" ProgID="Equations" ShapeID="_x0000_i1025" DrawAspect="Content" ObjectID="_1468075725" r:id="rId14">
            <o:LockedField>false</o:LockedField>
          </o:OLEObject>
        </w:object>
      </w:r>
    </w:p>
    <w:p w14:paraId="4C3606EA">
      <w:pPr>
        <w:spacing w:before="113" w:line="227" w:lineRule="auto"/>
        <w:ind w:left="606"/>
        <w:rPr>
          <w:sz w:val="23"/>
          <w:szCs w:val="23"/>
        </w:rPr>
      </w:pPr>
      <w:r>
        <w:rPr>
          <w:spacing w:val="2"/>
          <w:sz w:val="23"/>
          <w:szCs w:val="23"/>
        </w:rPr>
        <w:t>式中</w:t>
      </w:r>
      <w:r>
        <w:rPr>
          <w:spacing w:val="1"/>
          <w:sz w:val="23"/>
          <w:szCs w:val="23"/>
        </w:rPr>
        <w:t>：</w:t>
      </w:r>
    </w:p>
    <w:p w14:paraId="6A6B41C1">
      <w:pPr>
        <w:spacing w:before="185" w:line="226" w:lineRule="auto"/>
        <w:ind w:left="587" w:firstLine="960" w:firstLineChars="400"/>
        <w:rPr>
          <w:rFonts w:ascii="Times New Roman" w:hAnsi="Times New Roman" w:cs="Times New Roman"/>
          <w:spacing w:val="10"/>
          <w:sz w:val="24"/>
          <w:szCs w:val="24"/>
        </w:rPr>
      </w:pPr>
      <w:r>
        <w:rPr>
          <w:rFonts w:ascii="Times New Roman" w:hAnsi="Times New Roman" w:eastAsia="Times New Roman" w:cs="Times New Roman"/>
          <w:i/>
          <w:iCs/>
          <w:sz w:val="24"/>
          <w:szCs w:val="24"/>
        </w:rPr>
        <w:t>R</w:t>
      </w:r>
      <w:r>
        <w:rPr>
          <w:rFonts w:hint="eastAsia" w:ascii="Times New Roman" w:hAnsi="Times New Roman" w:cs="Times New Roman"/>
          <w:sz w:val="24"/>
          <w:szCs w:val="24"/>
          <w:vertAlign w:val="subscript"/>
          <w:lang w:eastAsia="zh-CN"/>
        </w:rPr>
        <w:t>p</w:t>
      </w:r>
      <w:r>
        <w:rPr>
          <w:rFonts w:ascii="Times New Roman" w:hAnsi="Times New Roman" w:eastAsia="Times New Roman" w:cs="Times New Roman"/>
          <w:spacing w:val="12"/>
          <w:sz w:val="24"/>
          <w:szCs w:val="24"/>
        </w:rPr>
        <w:t>—</w:t>
      </w:r>
      <w:r>
        <w:rPr>
          <w:rFonts w:ascii="Times New Roman" w:hAnsi="Times New Roman" w:eastAsia="Times New Roman" w:cs="Times New Roman"/>
          <w:spacing w:val="10"/>
          <w:sz w:val="24"/>
          <w:szCs w:val="24"/>
        </w:rPr>
        <w:t>—</w:t>
      </w:r>
      <w:r>
        <w:rPr>
          <w:rFonts w:ascii="Times New Roman" w:hAnsi="Times New Roman" w:cs="Times New Roman"/>
          <w:spacing w:val="10"/>
          <w:sz w:val="24"/>
          <w:szCs w:val="24"/>
        </w:rPr>
        <w:t>碳排放计量器具配备率</w:t>
      </w:r>
      <w:r>
        <w:rPr>
          <w:rFonts w:hint="eastAsia" w:ascii="Times New Roman" w:hAnsi="Times New Roman" w:cs="Times New Roman"/>
          <w:spacing w:val="10"/>
          <w:sz w:val="24"/>
          <w:szCs w:val="24"/>
          <w:lang w:eastAsia="zh-CN"/>
        </w:rPr>
        <w:t>，%</w:t>
      </w:r>
      <w:r>
        <w:rPr>
          <w:rFonts w:ascii="Times New Roman" w:hAnsi="Times New Roman" w:cs="Times New Roman"/>
          <w:spacing w:val="10"/>
          <w:sz w:val="24"/>
          <w:szCs w:val="24"/>
        </w:rPr>
        <w:t>；</w:t>
      </w:r>
    </w:p>
    <w:p w14:paraId="61BD2957">
      <w:pPr>
        <w:spacing w:before="185" w:line="226" w:lineRule="auto"/>
        <w:ind w:left="587" w:firstLine="960" w:firstLineChars="400"/>
        <w:rPr>
          <w:rFonts w:ascii="Times New Roman" w:hAnsi="Times New Roman" w:cs="Times New Roman"/>
          <w:sz w:val="24"/>
          <w:szCs w:val="24"/>
        </w:rPr>
      </w:pPr>
      <w:r>
        <w:rPr>
          <w:rFonts w:ascii="Times New Roman" w:hAnsi="Times New Roman" w:eastAsia="Times New Roman" w:cs="Times New Roman"/>
          <w:i/>
          <w:iCs/>
          <w:sz w:val="24"/>
          <w:szCs w:val="24"/>
        </w:rPr>
        <w:t>N</w:t>
      </w:r>
      <w:r>
        <w:rPr>
          <w:rFonts w:ascii="Times New Roman" w:hAnsi="Times New Roman" w:eastAsia="Times New Roman" w:cs="Times New Roman"/>
          <w:sz w:val="24"/>
          <w:szCs w:val="24"/>
          <w:vertAlign w:val="subscript"/>
        </w:rPr>
        <w:t>s</w:t>
      </w:r>
      <w:r>
        <w:rPr>
          <w:rFonts w:ascii="Times New Roman" w:hAnsi="Times New Roman" w:eastAsia="Times New Roman" w:cs="Times New Roman"/>
          <w:spacing w:val="15"/>
          <w:sz w:val="24"/>
          <w:szCs w:val="24"/>
        </w:rPr>
        <w:t>—</w:t>
      </w:r>
      <w:r>
        <w:rPr>
          <w:rFonts w:ascii="Times New Roman" w:hAnsi="Times New Roman" w:eastAsia="Times New Roman" w:cs="Times New Roman"/>
          <w:spacing w:val="10"/>
          <w:sz w:val="24"/>
          <w:szCs w:val="24"/>
        </w:rPr>
        <w:t>—</w:t>
      </w:r>
      <w:r>
        <w:rPr>
          <w:rFonts w:ascii="Times New Roman" w:hAnsi="Times New Roman" w:cs="Times New Roman"/>
          <w:spacing w:val="10"/>
          <w:sz w:val="24"/>
          <w:szCs w:val="24"/>
        </w:rPr>
        <w:t>碳排放计量器具实际的安装配备数量；</w:t>
      </w:r>
    </w:p>
    <w:p w14:paraId="2ED6189A">
      <w:pPr>
        <w:spacing w:line="311" w:lineRule="exact"/>
        <w:ind w:left="586" w:firstLine="960" w:firstLineChars="400"/>
        <w:rPr>
          <w:rFonts w:ascii="Times New Roman" w:hAnsi="Times New Roman" w:cs="Times New Roman"/>
          <w:sz w:val="24"/>
          <w:szCs w:val="24"/>
        </w:rPr>
      </w:pPr>
      <w:r>
        <w:rPr>
          <w:rFonts w:ascii="Times New Roman" w:hAnsi="Times New Roman" w:eastAsia="Times New Roman" w:cs="Times New Roman"/>
          <w:i/>
          <w:iCs/>
          <w:sz w:val="24"/>
          <w:szCs w:val="24"/>
        </w:rPr>
        <w:t>N</w:t>
      </w:r>
      <w:r>
        <w:rPr>
          <w:rFonts w:ascii="Times New Roman" w:hAnsi="Times New Roman" w:eastAsia="Times New Roman" w:cs="Times New Roman"/>
          <w:sz w:val="24"/>
          <w:szCs w:val="24"/>
          <w:vertAlign w:val="subscript"/>
        </w:rPr>
        <w:t>l</w:t>
      </w:r>
      <w:r>
        <w:rPr>
          <w:rFonts w:ascii="Times New Roman" w:hAnsi="Times New Roman" w:eastAsia="Times New Roman" w:cs="Times New Roman"/>
          <w:spacing w:val="15"/>
          <w:sz w:val="24"/>
          <w:szCs w:val="24"/>
        </w:rPr>
        <w:t>—</w:t>
      </w:r>
      <w:r>
        <w:rPr>
          <w:rFonts w:ascii="Times New Roman" w:hAnsi="Times New Roman" w:eastAsia="Times New Roman" w:cs="Times New Roman"/>
          <w:spacing w:val="10"/>
          <w:sz w:val="24"/>
          <w:szCs w:val="24"/>
        </w:rPr>
        <w:t>—</w:t>
      </w:r>
      <w:r>
        <w:rPr>
          <w:rFonts w:ascii="Times New Roman" w:hAnsi="Times New Roman" w:cs="Times New Roman"/>
          <w:spacing w:val="10"/>
          <w:sz w:val="24"/>
          <w:szCs w:val="24"/>
        </w:rPr>
        <w:t>碳排放计量器具理论需要量。</w:t>
      </w:r>
    </w:p>
    <w:p w14:paraId="1C2B25D9">
      <w:pPr>
        <w:spacing w:before="160" w:line="360" w:lineRule="auto"/>
        <w:ind w:left="567"/>
        <w:rPr>
          <w:spacing w:val="5"/>
          <w:sz w:val="24"/>
          <w:szCs w:val="24"/>
        </w:rPr>
      </w:pPr>
      <w:r>
        <w:rPr>
          <w:rFonts w:ascii="Times New Roman" w:hAnsi="Times New Roman" w:cs="Times New Roman"/>
          <w:spacing w:val="5"/>
          <w:sz w:val="24"/>
          <w:szCs w:val="24"/>
          <w:lang w:eastAsia="zh-CN"/>
        </w:rPr>
        <w:t>5.4.3</w:t>
      </w:r>
      <w:r>
        <w:rPr>
          <w:spacing w:val="5"/>
          <w:sz w:val="24"/>
          <w:szCs w:val="24"/>
        </w:rPr>
        <w:t xml:space="preserve"> 碳排放量燃料端核算计量器具准确度等级或最大允许误差应满</w:t>
      </w:r>
      <w:r>
        <w:rPr>
          <w:rFonts w:ascii="Times New Roman" w:hAnsi="Times New Roman" w:cs="Times New Roman"/>
          <w:spacing w:val="5"/>
          <w:sz w:val="24"/>
          <w:szCs w:val="24"/>
        </w:rPr>
        <w:t>足表 4 要求。</w:t>
      </w:r>
    </w:p>
    <w:p w14:paraId="030234C4">
      <w:pPr>
        <w:spacing w:before="1" w:line="228" w:lineRule="auto"/>
        <w:jc w:val="center"/>
        <w:rPr>
          <w:rFonts w:ascii="黑体" w:hAnsi="黑体" w:eastAsia="黑体" w:cs="黑体"/>
          <w:sz w:val="20"/>
          <w:szCs w:val="20"/>
        </w:rPr>
      </w:pPr>
      <w:r>
        <w:rPr>
          <w:rFonts w:ascii="黑体" w:hAnsi="黑体" w:eastAsia="黑体" w:cs="黑体"/>
          <w:spacing w:val="10"/>
          <w:sz w:val="20"/>
          <w:szCs w:val="20"/>
        </w:rPr>
        <w:t>表</w:t>
      </w:r>
      <w:r>
        <w:rPr>
          <w:rFonts w:ascii="Times New Roman" w:hAnsi="Times New Roman" w:eastAsia="Times New Roman" w:cs="Times New Roman"/>
          <w:spacing w:val="7"/>
          <w:sz w:val="20"/>
          <w:szCs w:val="20"/>
        </w:rPr>
        <w:t xml:space="preserve">4  </w:t>
      </w:r>
      <w:r>
        <w:rPr>
          <w:rFonts w:ascii="黑体" w:hAnsi="黑体" w:eastAsia="黑体" w:cs="黑体"/>
          <w:spacing w:val="7"/>
          <w:sz w:val="20"/>
          <w:szCs w:val="20"/>
        </w:rPr>
        <w:t>碳排放量燃料端核算计量器具准确度等级或最大允许误差要求</w:t>
      </w:r>
    </w:p>
    <w:tbl>
      <w:tblPr>
        <w:tblStyle w:val="15"/>
        <w:tblW w:w="924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89"/>
        <w:gridCol w:w="1108"/>
        <w:gridCol w:w="1119"/>
        <w:gridCol w:w="2297"/>
        <w:gridCol w:w="3236"/>
      </w:tblGrid>
      <w:tr w14:paraId="26A9FF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489" w:type="dxa"/>
            <w:vAlign w:val="center"/>
          </w:tcPr>
          <w:p w14:paraId="63EE9325">
            <w:pPr>
              <w:spacing w:before="134" w:line="229" w:lineRule="auto"/>
              <w:jc w:val="center"/>
              <w:rPr>
                <w:rFonts w:ascii="Times New Roman" w:hAnsi="Times New Roman" w:cs="Times New Roman"/>
                <w:sz w:val="21"/>
                <w:szCs w:val="21"/>
              </w:rPr>
            </w:pPr>
            <w:r>
              <w:rPr>
                <w:rFonts w:ascii="Times New Roman" w:hAnsi="Times New Roman" w:cs="Times New Roman"/>
                <w:spacing w:val="8"/>
                <w:sz w:val="21"/>
                <w:szCs w:val="21"/>
              </w:rPr>
              <w:t>计</w:t>
            </w:r>
            <w:r>
              <w:rPr>
                <w:rFonts w:ascii="Times New Roman" w:hAnsi="Times New Roman" w:cs="Times New Roman"/>
                <w:spacing w:val="7"/>
                <w:sz w:val="21"/>
                <w:szCs w:val="21"/>
              </w:rPr>
              <w:t>量目的</w:t>
            </w:r>
          </w:p>
        </w:tc>
        <w:tc>
          <w:tcPr>
            <w:tcW w:w="4524" w:type="dxa"/>
            <w:gridSpan w:val="3"/>
            <w:vAlign w:val="center"/>
          </w:tcPr>
          <w:p w14:paraId="001F34FE">
            <w:pPr>
              <w:spacing w:before="134" w:line="225" w:lineRule="auto"/>
              <w:jc w:val="center"/>
              <w:rPr>
                <w:rFonts w:ascii="Times New Roman" w:hAnsi="Times New Roman" w:cs="Times New Roman"/>
                <w:sz w:val="21"/>
                <w:szCs w:val="21"/>
              </w:rPr>
            </w:pPr>
            <w:r>
              <w:rPr>
                <w:rFonts w:ascii="Times New Roman" w:hAnsi="Times New Roman" w:cs="Times New Roman"/>
                <w:spacing w:val="9"/>
                <w:sz w:val="21"/>
                <w:szCs w:val="21"/>
              </w:rPr>
              <w:t>计</w:t>
            </w:r>
            <w:r>
              <w:rPr>
                <w:rFonts w:ascii="Times New Roman" w:hAnsi="Times New Roman" w:cs="Times New Roman"/>
                <w:spacing w:val="8"/>
                <w:sz w:val="21"/>
                <w:szCs w:val="21"/>
              </w:rPr>
              <w:t>量器具类别</w:t>
            </w:r>
          </w:p>
        </w:tc>
        <w:tc>
          <w:tcPr>
            <w:tcW w:w="3236" w:type="dxa"/>
            <w:vAlign w:val="center"/>
          </w:tcPr>
          <w:p w14:paraId="242DA9EC">
            <w:pPr>
              <w:spacing w:before="133" w:line="228" w:lineRule="auto"/>
              <w:ind w:left="159"/>
              <w:jc w:val="center"/>
              <w:rPr>
                <w:rFonts w:ascii="Times New Roman" w:hAnsi="Times New Roman" w:cs="Times New Roman"/>
                <w:sz w:val="21"/>
                <w:szCs w:val="21"/>
              </w:rPr>
            </w:pPr>
            <w:r>
              <w:rPr>
                <w:rFonts w:ascii="Times New Roman" w:hAnsi="Times New Roman" w:cs="Times New Roman"/>
                <w:spacing w:val="9"/>
                <w:sz w:val="21"/>
                <w:szCs w:val="21"/>
              </w:rPr>
              <w:t>准确度等级或最大允许误</w:t>
            </w:r>
            <w:r>
              <w:rPr>
                <w:rFonts w:ascii="Times New Roman" w:hAnsi="Times New Roman" w:cs="Times New Roman"/>
                <w:spacing w:val="8"/>
                <w:sz w:val="21"/>
                <w:szCs w:val="21"/>
              </w:rPr>
              <w:t>差</w:t>
            </w:r>
          </w:p>
        </w:tc>
      </w:tr>
      <w:tr w14:paraId="31B8B8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489" w:type="dxa"/>
            <w:vMerge w:val="restart"/>
            <w:tcBorders>
              <w:bottom w:val="nil"/>
            </w:tcBorders>
            <w:vAlign w:val="center"/>
          </w:tcPr>
          <w:p w14:paraId="685F93C4">
            <w:pPr>
              <w:spacing w:before="65" w:line="228" w:lineRule="auto"/>
              <w:jc w:val="center"/>
              <w:rPr>
                <w:rFonts w:ascii="Times New Roman" w:hAnsi="Times New Roman" w:cs="Times New Roman"/>
                <w:sz w:val="21"/>
                <w:szCs w:val="21"/>
              </w:rPr>
            </w:pPr>
            <w:r>
              <w:rPr>
                <w:rFonts w:ascii="Times New Roman" w:hAnsi="Times New Roman" w:cs="Times New Roman"/>
                <w:spacing w:val="8"/>
                <w:sz w:val="21"/>
                <w:szCs w:val="21"/>
              </w:rPr>
              <w:t>排</w:t>
            </w:r>
            <w:r>
              <w:rPr>
                <w:rFonts w:ascii="Times New Roman" w:hAnsi="Times New Roman" w:cs="Times New Roman"/>
                <w:spacing w:val="7"/>
                <w:sz w:val="21"/>
                <w:szCs w:val="21"/>
              </w:rPr>
              <w:t>放因子</w:t>
            </w:r>
          </w:p>
        </w:tc>
        <w:tc>
          <w:tcPr>
            <w:tcW w:w="4524" w:type="dxa"/>
            <w:gridSpan w:val="3"/>
            <w:vAlign w:val="center"/>
          </w:tcPr>
          <w:p w14:paraId="1A885D07">
            <w:pPr>
              <w:spacing w:before="129" w:line="228" w:lineRule="auto"/>
              <w:jc w:val="center"/>
              <w:rPr>
                <w:rFonts w:ascii="Times New Roman" w:hAnsi="Times New Roman" w:cs="Times New Roman"/>
                <w:sz w:val="21"/>
                <w:szCs w:val="21"/>
              </w:rPr>
            </w:pPr>
            <w:r>
              <w:rPr>
                <w:rFonts w:ascii="Times New Roman" w:hAnsi="Times New Roman" w:cs="Times New Roman"/>
                <w:spacing w:val="8"/>
                <w:sz w:val="21"/>
                <w:szCs w:val="21"/>
              </w:rPr>
              <w:t>温度测量仪</w:t>
            </w:r>
            <w:r>
              <w:rPr>
                <w:rFonts w:ascii="Times New Roman" w:hAnsi="Times New Roman" w:cs="Times New Roman"/>
                <w:spacing w:val="7"/>
                <w:sz w:val="21"/>
                <w:szCs w:val="21"/>
              </w:rPr>
              <w:t>表</w:t>
            </w:r>
          </w:p>
        </w:tc>
        <w:tc>
          <w:tcPr>
            <w:tcW w:w="3236" w:type="dxa"/>
            <w:vAlign w:val="center"/>
          </w:tcPr>
          <w:p w14:paraId="4DE6D6E8">
            <w:pPr>
              <w:spacing w:before="129" w:line="230" w:lineRule="auto"/>
              <w:jc w:val="center"/>
              <w:rPr>
                <w:rFonts w:ascii="Times New Roman" w:hAnsi="Times New Roman" w:cs="Times New Roman"/>
                <w:sz w:val="21"/>
                <w:szCs w:val="21"/>
              </w:rPr>
            </w:pPr>
            <w:r>
              <w:rPr>
                <w:rFonts w:ascii="Times New Roman" w:hAnsi="Times New Roman" w:cs="Times New Roman"/>
                <w:spacing w:val="5"/>
                <w:sz w:val="21"/>
                <w:szCs w:val="21"/>
              </w:rPr>
              <w:t>2</w:t>
            </w:r>
            <w:r>
              <w:rPr>
                <w:rFonts w:ascii="Times New Roman" w:hAnsi="Times New Roman" w:cs="Times New Roman"/>
                <w:spacing w:val="4"/>
                <w:sz w:val="21"/>
                <w:szCs w:val="21"/>
              </w:rPr>
              <w:t>.0 级</w:t>
            </w:r>
          </w:p>
        </w:tc>
      </w:tr>
      <w:tr w14:paraId="7D323B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489" w:type="dxa"/>
            <w:vMerge w:val="continue"/>
            <w:tcBorders>
              <w:top w:val="nil"/>
              <w:bottom w:val="nil"/>
            </w:tcBorders>
            <w:vAlign w:val="center"/>
          </w:tcPr>
          <w:p w14:paraId="7FE9DFA1">
            <w:pPr>
              <w:jc w:val="center"/>
              <w:rPr>
                <w:rFonts w:ascii="Times New Roman" w:hAnsi="Times New Roman" w:cs="Times New Roman"/>
                <w:sz w:val="21"/>
                <w:szCs w:val="21"/>
              </w:rPr>
            </w:pPr>
          </w:p>
        </w:tc>
        <w:tc>
          <w:tcPr>
            <w:tcW w:w="4524" w:type="dxa"/>
            <w:gridSpan w:val="3"/>
            <w:vAlign w:val="center"/>
          </w:tcPr>
          <w:p w14:paraId="108EB417">
            <w:pPr>
              <w:spacing w:before="130" w:line="228" w:lineRule="auto"/>
              <w:jc w:val="center"/>
              <w:rPr>
                <w:rFonts w:ascii="Times New Roman" w:hAnsi="Times New Roman" w:cs="Times New Roman"/>
                <w:sz w:val="21"/>
                <w:szCs w:val="21"/>
              </w:rPr>
            </w:pPr>
            <w:r>
              <w:rPr>
                <w:rFonts w:ascii="Times New Roman" w:hAnsi="Times New Roman" w:cs="Times New Roman"/>
                <w:spacing w:val="8"/>
                <w:sz w:val="21"/>
                <w:szCs w:val="21"/>
              </w:rPr>
              <w:t>元素分析</w:t>
            </w:r>
            <w:r>
              <w:rPr>
                <w:rFonts w:ascii="Times New Roman" w:hAnsi="Times New Roman" w:cs="Times New Roman"/>
                <w:spacing w:val="7"/>
                <w:sz w:val="21"/>
                <w:szCs w:val="21"/>
              </w:rPr>
              <w:t>仪</w:t>
            </w:r>
          </w:p>
        </w:tc>
        <w:tc>
          <w:tcPr>
            <w:tcW w:w="3236" w:type="dxa"/>
            <w:vAlign w:val="center"/>
          </w:tcPr>
          <w:p w14:paraId="0E81B945">
            <w:pPr>
              <w:spacing w:before="92" w:line="281" w:lineRule="exact"/>
              <w:jc w:val="center"/>
              <w:rPr>
                <w:rFonts w:ascii="Times New Roman" w:hAnsi="Times New Roman" w:cs="Times New Roman"/>
                <w:sz w:val="21"/>
                <w:szCs w:val="21"/>
              </w:rPr>
            </w:pPr>
            <w:r>
              <w:rPr>
                <w:rFonts w:ascii="Times New Roman" w:hAnsi="Times New Roman" w:cs="Times New Roman"/>
                <w:spacing w:val="6"/>
                <w:position w:val="2"/>
                <w:sz w:val="21"/>
                <w:szCs w:val="21"/>
              </w:rPr>
              <w:t>±2</w:t>
            </w:r>
            <w:r>
              <w:rPr>
                <w:rFonts w:ascii="Times New Roman" w:hAnsi="Times New Roman" w:cs="Times New Roman"/>
                <w:spacing w:val="5"/>
                <w:position w:val="2"/>
                <w:sz w:val="21"/>
                <w:szCs w:val="21"/>
              </w:rPr>
              <w:t>%</w:t>
            </w:r>
          </w:p>
        </w:tc>
      </w:tr>
      <w:tr w14:paraId="3A2FEB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489" w:type="dxa"/>
            <w:vMerge w:val="continue"/>
            <w:tcBorders>
              <w:top w:val="nil"/>
            </w:tcBorders>
            <w:vAlign w:val="center"/>
          </w:tcPr>
          <w:p w14:paraId="4B007E0F">
            <w:pPr>
              <w:jc w:val="center"/>
              <w:rPr>
                <w:rFonts w:ascii="Times New Roman" w:hAnsi="Times New Roman" w:cs="Times New Roman"/>
                <w:sz w:val="21"/>
                <w:szCs w:val="21"/>
              </w:rPr>
            </w:pPr>
          </w:p>
        </w:tc>
        <w:tc>
          <w:tcPr>
            <w:tcW w:w="4524" w:type="dxa"/>
            <w:gridSpan w:val="3"/>
            <w:vAlign w:val="center"/>
          </w:tcPr>
          <w:p w14:paraId="033C1692">
            <w:pPr>
              <w:spacing w:before="132" w:line="228" w:lineRule="auto"/>
              <w:jc w:val="center"/>
              <w:rPr>
                <w:rFonts w:ascii="Times New Roman" w:hAnsi="Times New Roman" w:cs="Times New Roman"/>
                <w:sz w:val="21"/>
                <w:szCs w:val="21"/>
              </w:rPr>
            </w:pPr>
            <w:r>
              <w:rPr>
                <w:rFonts w:ascii="Times New Roman" w:hAnsi="Times New Roman" w:cs="Times New Roman"/>
                <w:spacing w:val="8"/>
                <w:sz w:val="21"/>
                <w:szCs w:val="21"/>
              </w:rPr>
              <w:t>压力测量仪表</w:t>
            </w:r>
          </w:p>
        </w:tc>
        <w:tc>
          <w:tcPr>
            <w:tcW w:w="3236" w:type="dxa"/>
            <w:vAlign w:val="center"/>
          </w:tcPr>
          <w:p w14:paraId="7197273F">
            <w:pPr>
              <w:spacing w:before="132" w:line="230" w:lineRule="auto"/>
              <w:jc w:val="center"/>
              <w:rPr>
                <w:rFonts w:ascii="Times New Roman" w:hAnsi="Times New Roman" w:cs="Times New Roman"/>
                <w:sz w:val="21"/>
                <w:szCs w:val="21"/>
              </w:rPr>
            </w:pPr>
            <w:r>
              <w:rPr>
                <w:rFonts w:ascii="Times New Roman" w:hAnsi="Times New Roman" w:cs="Times New Roman"/>
                <w:spacing w:val="5"/>
                <w:sz w:val="21"/>
                <w:szCs w:val="21"/>
              </w:rPr>
              <w:t>2</w:t>
            </w:r>
            <w:r>
              <w:rPr>
                <w:rFonts w:ascii="Times New Roman" w:hAnsi="Times New Roman" w:cs="Times New Roman"/>
                <w:spacing w:val="4"/>
                <w:sz w:val="21"/>
                <w:szCs w:val="21"/>
              </w:rPr>
              <w:t>.5 级</w:t>
            </w:r>
          </w:p>
        </w:tc>
      </w:tr>
      <w:tr w14:paraId="0618D5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489" w:type="dxa"/>
            <w:vMerge w:val="restart"/>
            <w:tcBorders>
              <w:bottom w:val="nil"/>
            </w:tcBorders>
            <w:vAlign w:val="center"/>
          </w:tcPr>
          <w:p w14:paraId="7EF0B68D">
            <w:pPr>
              <w:spacing w:before="65" w:line="228" w:lineRule="auto"/>
              <w:jc w:val="center"/>
              <w:rPr>
                <w:rFonts w:ascii="Times New Roman" w:hAnsi="Times New Roman" w:cs="Times New Roman"/>
                <w:sz w:val="21"/>
                <w:szCs w:val="21"/>
              </w:rPr>
            </w:pPr>
            <w:r>
              <w:rPr>
                <w:rFonts w:ascii="Times New Roman" w:hAnsi="Times New Roman" w:cs="Times New Roman"/>
                <w:spacing w:val="8"/>
                <w:sz w:val="21"/>
                <w:szCs w:val="21"/>
              </w:rPr>
              <w:t>活</w:t>
            </w:r>
            <w:r>
              <w:rPr>
                <w:rFonts w:ascii="Times New Roman" w:hAnsi="Times New Roman" w:cs="Times New Roman"/>
                <w:spacing w:val="6"/>
                <w:sz w:val="21"/>
                <w:szCs w:val="21"/>
              </w:rPr>
              <w:t>动数据</w:t>
            </w:r>
          </w:p>
        </w:tc>
        <w:tc>
          <w:tcPr>
            <w:tcW w:w="4524" w:type="dxa"/>
            <w:gridSpan w:val="3"/>
            <w:vAlign w:val="center"/>
          </w:tcPr>
          <w:p w14:paraId="521E0E55">
            <w:pPr>
              <w:spacing w:before="131" w:line="227" w:lineRule="auto"/>
              <w:jc w:val="center"/>
              <w:rPr>
                <w:rFonts w:ascii="Times New Roman" w:hAnsi="Times New Roman" w:cs="Times New Roman"/>
                <w:sz w:val="21"/>
                <w:szCs w:val="21"/>
              </w:rPr>
            </w:pPr>
            <w:r>
              <w:rPr>
                <w:rFonts w:ascii="Times New Roman" w:hAnsi="Times New Roman" w:cs="Times New Roman"/>
                <w:spacing w:val="7"/>
                <w:sz w:val="21"/>
                <w:szCs w:val="21"/>
              </w:rPr>
              <w:t>静态衡器</w:t>
            </w:r>
          </w:p>
        </w:tc>
        <w:tc>
          <w:tcPr>
            <w:tcW w:w="3236" w:type="dxa"/>
            <w:vAlign w:val="center"/>
          </w:tcPr>
          <w:p w14:paraId="17ECD551">
            <w:pPr>
              <w:spacing w:before="132" w:line="228" w:lineRule="auto"/>
              <w:jc w:val="center"/>
              <w:rPr>
                <w:rFonts w:ascii="Times New Roman" w:hAnsi="Times New Roman" w:cs="Times New Roman"/>
                <w:sz w:val="21"/>
                <w:szCs w:val="21"/>
                <w:lang w:eastAsia="zh-CN"/>
              </w:rPr>
            </w:pPr>
            <w:r>
              <w:rPr>
                <w:rFonts w:hint="eastAsia" w:ascii="Times New Roman" w:hAnsi="Times New Roman" w:cs="Times New Roman"/>
                <w:spacing w:val="5"/>
                <w:sz w:val="21"/>
                <w:szCs w:val="21"/>
                <w:lang w:eastAsia="zh-CN"/>
              </w:rPr>
              <w:t>0.1 级</w:t>
            </w:r>
          </w:p>
        </w:tc>
      </w:tr>
      <w:tr w14:paraId="7E433E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489" w:type="dxa"/>
            <w:vMerge w:val="continue"/>
            <w:tcBorders>
              <w:top w:val="nil"/>
              <w:bottom w:val="nil"/>
            </w:tcBorders>
            <w:vAlign w:val="center"/>
          </w:tcPr>
          <w:p w14:paraId="4CDB97DD">
            <w:pPr>
              <w:jc w:val="center"/>
              <w:rPr>
                <w:rFonts w:ascii="Times New Roman" w:hAnsi="Times New Roman" w:cs="Times New Roman"/>
                <w:sz w:val="21"/>
                <w:szCs w:val="21"/>
              </w:rPr>
            </w:pPr>
          </w:p>
        </w:tc>
        <w:tc>
          <w:tcPr>
            <w:tcW w:w="4524" w:type="dxa"/>
            <w:gridSpan w:val="3"/>
            <w:vAlign w:val="center"/>
          </w:tcPr>
          <w:p w14:paraId="1172B634">
            <w:pPr>
              <w:spacing w:before="132" w:line="228" w:lineRule="auto"/>
              <w:jc w:val="center"/>
              <w:rPr>
                <w:rFonts w:ascii="Times New Roman" w:hAnsi="Times New Roman" w:cs="Times New Roman"/>
                <w:sz w:val="21"/>
                <w:szCs w:val="21"/>
              </w:rPr>
            </w:pPr>
            <w:r>
              <w:rPr>
                <w:rFonts w:ascii="Times New Roman" w:hAnsi="Times New Roman" w:cs="Times New Roman"/>
                <w:spacing w:val="7"/>
                <w:sz w:val="21"/>
                <w:szCs w:val="21"/>
              </w:rPr>
              <w:t>动态衡器</w:t>
            </w:r>
          </w:p>
        </w:tc>
        <w:tc>
          <w:tcPr>
            <w:tcW w:w="3236" w:type="dxa"/>
          </w:tcPr>
          <w:p w14:paraId="5B0EFA15">
            <w:pPr>
              <w:spacing w:before="131" w:line="230" w:lineRule="auto"/>
              <w:jc w:val="center"/>
              <w:rPr>
                <w:rFonts w:ascii="Times New Roman" w:hAnsi="Times New Roman" w:cs="Times New Roman"/>
                <w:sz w:val="21"/>
                <w:szCs w:val="21"/>
              </w:rPr>
            </w:pPr>
            <w:r>
              <w:rPr>
                <w:rFonts w:ascii="Times New Roman" w:hAnsi="Times New Roman" w:cs="Times New Roman"/>
                <w:spacing w:val="6"/>
                <w:sz w:val="21"/>
                <w:szCs w:val="21"/>
              </w:rPr>
              <w:t>0</w:t>
            </w:r>
            <w:r>
              <w:rPr>
                <w:rFonts w:ascii="Times New Roman" w:hAnsi="Times New Roman" w:cs="Times New Roman"/>
                <w:spacing w:val="3"/>
                <w:sz w:val="21"/>
                <w:szCs w:val="21"/>
              </w:rPr>
              <w:t>.5 级</w:t>
            </w:r>
          </w:p>
        </w:tc>
      </w:tr>
      <w:tr w14:paraId="0498CD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489" w:type="dxa"/>
            <w:vMerge w:val="continue"/>
            <w:tcBorders>
              <w:top w:val="nil"/>
              <w:bottom w:val="nil"/>
            </w:tcBorders>
            <w:vAlign w:val="center"/>
          </w:tcPr>
          <w:p w14:paraId="4611416E">
            <w:pPr>
              <w:jc w:val="center"/>
              <w:rPr>
                <w:rFonts w:ascii="Times New Roman" w:hAnsi="Times New Roman" w:cs="Times New Roman"/>
                <w:sz w:val="21"/>
                <w:szCs w:val="21"/>
              </w:rPr>
            </w:pPr>
          </w:p>
        </w:tc>
        <w:tc>
          <w:tcPr>
            <w:tcW w:w="2227" w:type="dxa"/>
            <w:gridSpan w:val="2"/>
            <w:vMerge w:val="restart"/>
            <w:tcBorders>
              <w:bottom w:val="nil"/>
            </w:tcBorders>
            <w:vAlign w:val="center"/>
          </w:tcPr>
          <w:p w14:paraId="34AB8368">
            <w:pPr>
              <w:spacing w:before="65" w:line="229" w:lineRule="auto"/>
              <w:jc w:val="center"/>
              <w:rPr>
                <w:rFonts w:ascii="Times New Roman" w:hAnsi="Times New Roman" w:cs="Times New Roman"/>
                <w:sz w:val="21"/>
                <w:szCs w:val="21"/>
              </w:rPr>
            </w:pPr>
            <w:r>
              <w:rPr>
                <w:rFonts w:ascii="Times New Roman" w:hAnsi="Times New Roman" w:cs="Times New Roman"/>
                <w:spacing w:val="8"/>
                <w:sz w:val="21"/>
                <w:szCs w:val="21"/>
              </w:rPr>
              <w:t>油</w:t>
            </w:r>
            <w:r>
              <w:rPr>
                <w:rFonts w:ascii="Times New Roman" w:hAnsi="Times New Roman" w:cs="Times New Roman"/>
                <w:spacing w:val="6"/>
                <w:sz w:val="21"/>
                <w:szCs w:val="21"/>
              </w:rPr>
              <w:t>流量表</w:t>
            </w:r>
          </w:p>
        </w:tc>
        <w:tc>
          <w:tcPr>
            <w:tcW w:w="2297" w:type="dxa"/>
            <w:vAlign w:val="center"/>
          </w:tcPr>
          <w:p w14:paraId="7650BBC8">
            <w:pPr>
              <w:spacing w:before="130" w:line="228" w:lineRule="auto"/>
              <w:jc w:val="center"/>
              <w:rPr>
                <w:rFonts w:ascii="Times New Roman" w:hAnsi="Times New Roman" w:cs="Times New Roman"/>
                <w:sz w:val="21"/>
                <w:szCs w:val="21"/>
              </w:rPr>
            </w:pPr>
            <w:r>
              <w:rPr>
                <w:rFonts w:ascii="Times New Roman" w:hAnsi="Times New Roman" w:cs="Times New Roman"/>
                <w:spacing w:val="7"/>
                <w:sz w:val="21"/>
                <w:szCs w:val="21"/>
              </w:rPr>
              <w:t>轻</w:t>
            </w:r>
            <w:r>
              <w:rPr>
                <w:rFonts w:ascii="Times New Roman" w:hAnsi="Times New Roman" w:cs="Times New Roman"/>
                <w:spacing w:val="6"/>
                <w:sz w:val="21"/>
                <w:szCs w:val="21"/>
              </w:rPr>
              <w:t>质油</w:t>
            </w:r>
          </w:p>
        </w:tc>
        <w:tc>
          <w:tcPr>
            <w:tcW w:w="3236" w:type="dxa"/>
          </w:tcPr>
          <w:p w14:paraId="63A3ED3A">
            <w:pPr>
              <w:spacing w:before="131" w:line="230" w:lineRule="auto"/>
              <w:jc w:val="center"/>
              <w:rPr>
                <w:rFonts w:ascii="Times New Roman" w:hAnsi="Times New Roman" w:cs="Times New Roman"/>
                <w:sz w:val="21"/>
                <w:szCs w:val="21"/>
              </w:rPr>
            </w:pPr>
            <w:r>
              <w:rPr>
                <w:rFonts w:ascii="Times New Roman" w:hAnsi="Times New Roman" w:cs="Times New Roman"/>
                <w:spacing w:val="6"/>
                <w:sz w:val="21"/>
                <w:szCs w:val="21"/>
              </w:rPr>
              <w:t>0</w:t>
            </w:r>
            <w:r>
              <w:rPr>
                <w:rFonts w:ascii="Times New Roman" w:hAnsi="Times New Roman" w:cs="Times New Roman"/>
                <w:spacing w:val="3"/>
                <w:sz w:val="21"/>
                <w:szCs w:val="21"/>
              </w:rPr>
              <w:t>.5 级</w:t>
            </w:r>
          </w:p>
        </w:tc>
      </w:tr>
      <w:tr w14:paraId="2E946C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489" w:type="dxa"/>
            <w:vMerge w:val="continue"/>
            <w:tcBorders>
              <w:top w:val="nil"/>
              <w:bottom w:val="nil"/>
            </w:tcBorders>
            <w:vAlign w:val="center"/>
          </w:tcPr>
          <w:p w14:paraId="76216F0A">
            <w:pPr>
              <w:jc w:val="center"/>
              <w:rPr>
                <w:rFonts w:ascii="Times New Roman" w:hAnsi="Times New Roman" w:cs="Times New Roman"/>
                <w:sz w:val="21"/>
                <w:szCs w:val="21"/>
              </w:rPr>
            </w:pPr>
          </w:p>
        </w:tc>
        <w:tc>
          <w:tcPr>
            <w:tcW w:w="2227" w:type="dxa"/>
            <w:gridSpan w:val="2"/>
            <w:vMerge w:val="continue"/>
            <w:tcBorders>
              <w:top w:val="nil"/>
            </w:tcBorders>
            <w:vAlign w:val="center"/>
          </w:tcPr>
          <w:p w14:paraId="1045A477">
            <w:pPr>
              <w:jc w:val="center"/>
              <w:rPr>
                <w:rFonts w:ascii="Times New Roman" w:hAnsi="Times New Roman" w:cs="Times New Roman"/>
                <w:sz w:val="21"/>
                <w:szCs w:val="21"/>
              </w:rPr>
            </w:pPr>
          </w:p>
        </w:tc>
        <w:tc>
          <w:tcPr>
            <w:tcW w:w="2297" w:type="dxa"/>
            <w:vAlign w:val="center"/>
          </w:tcPr>
          <w:p w14:paraId="6416444F">
            <w:pPr>
              <w:spacing w:before="131" w:line="228" w:lineRule="auto"/>
              <w:jc w:val="center"/>
              <w:rPr>
                <w:rFonts w:ascii="Times New Roman" w:hAnsi="Times New Roman" w:cs="Times New Roman"/>
                <w:sz w:val="21"/>
                <w:szCs w:val="21"/>
              </w:rPr>
            </w:pPr>
            <w:r>
              <w:rPr>
                <w:rFonts w:ascii="Times New Roman" w:hAnsi="Times New Roman" w:cs="Times New Roman"/>
                <w:spacing w:val="7"/>
                <w:sz w:val="21"/>
                <w:szCs w:val="21"/>
              </w:rPr>
              <w:t>重</w:t>
            </w:r>
            <w:r>
              <w:rPr>
                <w:rFonts w:ascii="Times New Roman" w:hAnsi="Times New Roman" w:cs="Times New Roman"/>
                <w:spacing w:val="6"/>
                <w:sz w:val="21"/>
                <w:szCs w:val="21"/>
              </w:rPr>
              <w:t>质油</w:t>
            </w:r>
          </w:p>
        </w:tc>
        <w:tc>
          <w:tcPr>
            <w:tcW w:w="3236" w:type="dxa"/>
          </w:tcPr>
          <w:p w14:paraId="7DBC1209">
            <w:pPr>
              <w:spacing w:before="130" w:line="230" w:lineRule="auto"/>
              <w:jc w:val="center"/>
              <w:rPr>
                <w:rFonts w:ascii="Times New Roman" w:hAnsi="Times New Roman" w:cs="Times New Roman"/>
                <w:sz w:val="21"/>
                <w:szCs w:val="21"/>
              </w:rPr>
            </w:pPr>
            <w:r>
              <w:rPr>
                <w:rFonts w:ascii="Times New Roman" w:hAnsi="Times New Roman" w:cs="Times New Roman"/>
                <w:spacing w:val="1"/>
                <w:sz w:val="21"/>
                <w:szCs w:val="21"/>
              </w:rPr>
              <w:t>1</w:t>
            </w:r>
            <w:r>
              <w:rPr>
                <w:rFonts w:ascii="Times New Roman" w:hAnsi="Times New Roman" w:cs="Times New Roman"/>
                <w:sz w:val="21"/>
                <w:szCs w:val="21"/>
              </w:rPr>
              <w:t>.0 级</w:t>
            </w:r>
          </w:p>
        </w:tc>
      </w:tr>
      <w:tr w14:paraId="52A3AC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489" w:type="dxa"/>
            <w:vMerge w:val="continue"/>
            <w:tcBorders>
              <w:top w:val="nil"/>
              <w:bottom w:val="nil"/>
            </w:tcBorders>
            <w:vAlign w:val="center"/>
          </w:tcPr>
          <w:p w14:paraId="2F5A1739">
            <w:pPr>
              <w:jc w:val="center"/>
              <w:rPr>
                <w:rFonts w:ascii="Times New Roman" w:hAnsi="Times New Roman" w:cs="Times New Roman"/>
                <w:sz w:val="21"/>
                <w:szCs w:val="21"/>
              </w:rPr>
            </w:pPr>
          </w:p>
        </w:tc>
        <w:tc>
          <w:tcPr>
            <w:tcW w:w="2227" w:type="dxa"/>
            <w:gridSpan w:val="2"/>
            <w:vMerge w:val="restart"/>
            <w:tcBorders>
              <w:bottom w:val="nil"/>
            </w:tcBorders>
            <w:vAlign w:val="center"/>
          </w:tcPr>
          <w:p w14:paraId="3121BA40">
            <w:pPr>
              <w:spacing w:before="65" w:line="227" w:lineRule="auto"/>
              <w:jc w:val="center"/>
              <w:rPr>
                <w:rFonts w:ascii="Times New Roman" w:hAnsi="Times New Roman" w:cs="Times New Roman"/>
                <w:sz w:val="21"/>
                <w:szCs w:val="21"/>
              </w:rPr>
            </w:pPr>
            <w:r>
              <w:rPr>
                <w:rFonts w:ascii="Times New Roman" w:hAnsi="Times New Roman" w:cs="Times New Roman"/>
                <w:spacing w:val="8"/>
                <w:sz w:val="21"/>
                <w:szCs w:val="21"/>
              </w:rPr>
              <w:t>气体流量</w:t>
            </w:r>
            <w:r>
              <w:rPr>
                <w:rFonts w:ascii="Times New Roman" w:hAnsi="Times New Roman" w:cs="Times New Roman"/>
                <w:spacing w:val="7"/>
                <w:sz w:val="21"/>
                <w:szCs w:val="21"/>
              </w:rPr>
              <w:t>计</w:t>
            </w:r>
          </w:p>
        </w:tc>
        <w:tc>
          <w:tcPr>
            <w:tcW w:w="2297" w:type="dxa"/>
            <w:vAlign w:val="center"/>
          </w:tcPr>
          <w:p w14:paraId="3DD0D360">
            <w:pPr>
              <w:spacing w:before="130" w:line="227" w:lineRule="auto"/>
              <w:jc w:val="center"/>
              <w:rPr>
                <w:rFonts w:ascii="Times New Roman" w:hAnsi="Times New Roman" w:cs="Times New Roman"/>
                <w:sz w:val="21"/>
                <w:szCs w:val="21"/>
              </w:rPr>
            </w:pPr>
            <w:r>
              <w:rPr>
                <w:rFonts w:ascii="Times New Roman" w:hAnsi="Times New Roman" w:cs="Times New Roman"/>
                <w:spacing w:val="4"/>
                <w:sz w:val="21"/>
                <w:szCs w:val="21"/>
              </w:rPr>
              <w:t>煤气</w:t>
            </w:r>
          </w:p>
        </w:tc>
        <w:tc>
          <w:tcPr>
            <w:tcW w:w="3236" w:type="dxa"/>
          </w:tcPr>
          <w:p w14:paraId="7C6AE014">
            <w:pPr>
              <w:spacing w:before="130" w:line="230" w:lineRule="auto"/>
              <w:jc w:val="center"/>
              <w:rPr>
                <w:rFonts w:ascii="Times New Roman" w:hAnsi="Times New Roman" w:cs="Times New Roman"/>
                <w:sz w:val="21"/>
                <w:szCs w:val="21"/>
              </w:rPr>
            </w:pPr>
            <w:r>
              <w:rPr>
                <w:rFonts w:ascii="Times New Roman" w:hAnsi="Times New Roman" w:cs="Times New Roman"/>
                <w:spacing w:val="5"/>
                <w:sz w:val="21"/>
                <w:szCs w:val="21"/>
              </w:rPr>
              <w:t>2</w:t>
            </w:r>
            <w:r>
              <w:rPr>
                <w:rFonts w:ascii="Times New Roman" w:hAnsi="Times New Roman" w:cs="Times New Roman"/>
                <w:spacing w:val="4"/>
                <w:sz w:val="21"/>
                <w:szCs w:val="21"/>
              </w:rPr>
              <w:t>.0 级</w:t>
            </w:r>
          </w:p>
        </w:tc>
      </w:tr>
      <w:tr w14:paraId="44CE8E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489" w:type="dxa"/>
            <w:vMerge w:val="continue"/>
            <w:tcBorders>
              <w:top w:val="nil"/>
              <w:bottom w:val="nil"/>
            </w:tcBorders>
            <w:vAlign w:val="center"/>
          </w:tcPr>
          <w:p w14:paraId="1BE0E786">
            <w:pPr>
              <w:jc w:val="center"/>
              <w:rPr>
                <w:rFonts w:ascii="Times New Roman" w:hAnsi="Times New Roman" w:cs="Times New Roman"/>
                <w:sz w:val="21"/>
                <w:szCs w:val="21"/>
              </w:rPr>
            </w:pPr>
          </w:p>
        </w:tc>
        <w:tc>
          <w:tcPr>
            <w:tcW w:w="2227" w:type="dxa"/>
            <w:gridSpan w:val="2"/>
            <w:vMerge w:val="continue"/>
            <w:tcBorders>
              <w:top w:val="nil"/>
              <w:bottom w:val="nil"/>
            </w:tcBorders>
            <w:vAlign w:val="center"/>
          </w:tcPr>
          <w:p w14:paraId="098D791E">
            <w:pPr>
              <w:jc w:val="center"/>
              <w:rPr>
                <w:rFonts w:ascii="Times New Roman" w:hAnsi="Times New Roman" w:cs="Times New Roman"/>
                <w:sz w:val="21"/>
                <w:szCs w:val="21"/>
              </w:rPr>
            </w:pPr>
          </w:p>
        </w:tc>
        <w:tc>
          <w:tcPr>
            <w:tcW w:w="2297" w:type="dxa"/>
            <w:vAlign w:val="center"/>
          </w:tcPr>
          <w:p w14:paraId="438AB97A">
            <w:pPr>
              <w:spacing w:before="132" w:line="227" w:lineRule="auto"/>
              <w:jc w:val="center"/>
              <w:rPr>
                <w:rFonts w:ascii="Times New Roman" w:hAnsi="Times New Roman" w:cs="Times New Roman"/>
                <w:sz w:val="21"/>
                <w:szCs w:val="21"/>
              </w:rPr>
            </w:pPr>
            <w:r>
              <w:rPr>
                <w:rFonts w:ascii="Times New Roman" w:hAnsi="Times New Roman" w:cs="Times New Roman"/>
                <w:spacing w:val="6"/>
                <w:sz w:val="21"/>
                <w:szCs w:val="21"/>
              </w:rPr>
              <w:t>天</w:t>
            </w:r>
            <w:r>
              <w:rPr>
                <w:rFonts w:ascii="Times New Roman" w:hAnsi="Times New Roman" w:cs="Times New Roman"/>
                <w:spacing w:val="5"/>
                <w:sz w:val="21"/>
                <w:szCs w:val="21"/>
              </w:rPr>
              <w:t>然气</w:t>
            </w:r>
          </w:p>
        </w:tc>
        <w:tc>
          <w:tcPr>
            <w:tcW w:w="3236" w:type="dxa"/>
          </w:tcPr>
          <w:p w14:paraId="1652D083">
            <w:pPr>
              <w:spacing w:before="132" w:line="230" w:lineRule="auto"/>
              <w:jc w:val="center"/>
              <w:rPr>
                <w:rFonts w:ascii="Times New Roman" w:hAnsi="Times New Roman" w:cs="Times New Roman"/>
                <w:sz w:val="21"/>
                <w:szCs w:val="21"/>
              </w:rPr>
            </w:pPr>
            <w:r>
              <w:rPr>
                <w:rFonts w:ascii="Times New Roman" w:hAnsi="Times New Roman" w:cs="Times New Roman"/>
                <w:spacing w:val="5"/>
                <w:sz w:val="21"/>
                <w:szCs w:val="21"/>
              </w:rPr>
              <w:t>2</w:t>
            </w:r>
            <w:r>
              <w:rPr>
                <w:rFonts w:ascii="Times New Roman" w:hAnsi="Times New Roman" w:cs="Times New Roman"/>
                <w:spacing w:val="4"/>
                <w:sz w:val="21"/>
                <w:szCs w:val="21"/>
              </w:rPr>
              <w:t>.0 级</w:t>
            </w:r>
          </w:p>
        </w:tc>
      </w:tr>
      <w:tr w14:paraId="48A3F1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489" w:type="dxa"/>
            <w:vMerge w:val="continue"/>
            <w:tcBorders>
              <w:top w:val="nil"/>
              <w:bottom w:val="nil"/>
            </w:tcBorders>
            <w:vAlign w:val="center"/>
          </w:tcPr>
          <w:p w14:paraId="29F55B7E">
            <w:pPr>
              <w:jc w:val="center"/>
              <w:rPr>
                <w:rFonts w:ascii="Times New Roman" w:hAnsi="Times New Roman" w:cs="Times New Roman"/>
                <w:sz w:val="21"/>
                <w:szCs w:val="21"/>
              </w:rPr>
            </w:pPr>
          </w:p>
        </w:tc>
        <w:tc>
          <w:tcPr>
            <w:tcW w:w="2227" w:type="dxa"/>
            <w:gridSpan w:val="2"/>
            <w:vMerge w:val="continue"/>
            <w:tcBorders>
              <w:top w:val="nil"/>
            </w:tcBorders>
            <w:vAlign w:val="center"/>
          </w:tcPr>
          <w:p w14:paraId="377224F2">
            <w:pPr>
              <w:jc w:val="center"/>
              <w:rPr>
                <w:rFonts w:ascii="Times New Roman" w:hAnsi="Times New Roman" w:cs="Times New Roman"/>
                <w:sz w:val="21"/>
                <w:szCs w:val="21"/>
              </w:rPr>
            </w:pPr>
          </w:p>
        </w:tc>
        <w:tc>
          <w:tcPr>
            <w:tcW w:w="2297" w:type="dxa"/>
            <w:vAlign w:val="center"/>
          </w:tcPr>
          <w:p w14:paraId="78432B3E">
            <w:pPr>
              <w:spacing w:before="132" w:line="226" w:lineRule="auto"/>
              <w:jc w:val="center"/>
              <w:rPr>
                <w:rFonts w:ascii="Times New Roman" w:hAnsi="Times New Roman" w:cs="Times New Roman"/>
                <w:sz w:val="21"/>
                <w:szCs w:val="21"/>
              </w:rPr>
            </w:pPr>
            <w:r>
              <w:rPr>
                <w:rFonts w:ascii="Times New Roman" w:hAnsi="Times New Roman" w:cs="Times New Roman"/>
                <w:spacing w:val="4"/>
                <w:sz w:val="21"/>
                <w:szCs w:val="21"/>
              </w:rPr>
              <w:t>蒸</w:t>
            </w:r>
            <w:r>
              <w:rPr>
                <w:rFonts w:ascii="Times New Roman" w:hAnsi="Times New Roman" w:cs="Times New Roman"/>
                <w:spacing w:val="3"/>
                <w:sz w:val="21"/>
                <w:szCs w:val="21"/>
              </w:rPr>
              <w:t>汽</w:t>
            </w:r>
          </w:p>
        </w:tc>
        <w:tc>
          <w:tcPr>
            <w:tcW w:w="3236" w:type="dxa"/>
          </w:tcPr>
          <w:p w14:paraId="3A6648F2">
            <w:pPr>
              <w:spacing w:before="131" w:line="230" w:lineRule="auto"/>
              <w:jc w:val="center"/>
              <w:rPr>
                <w:rFonts w:ascii="Times New Roman" w:hAnsi="Times New Roman" w:cs="Times New Roman"/>
                <w:sz w:val="21"/>
                <w:szCs w:val="21"/>
              </w:rPr>
            </w:pPr>
            <w:r>
              <w:rPr>
                <w:rFonts w:ascii="Times New Roman" w:hAnsi="Times New Roman" w:cs="Times New Roman"/>
                <w:spacing w:val="5"/>
                <w:sz w:val="21"/>
                <w:szCs w:val="21"/>
              </w:rPr>
              <w:t>2</w:t>
            </w:r>
            <w:r>
              <w:rPr>
                <w:rFonts w:ascii="Times New Roman" w:hAnsi="Times New Roman" w:cs="Times New Roman"/>
                <w:spacing w:val="4"/>
                <w:sz w:val="21"/>
                <w:szCs w:val="21"/>
              </w:rPr>
              <w:t>.5 级</w:t>
            </w:r>
          </w:p>
        </w:tc>
      </w:tr>
      <w:tr w14:paraId="46839A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489" w:type="dxa"/>
            <w:vMerge w:val="continue"/>
            <w:tcBorders>
              <w:top w:val="nil"/>
              <w:bottom w:val="nil"/>
            </w:tcBorders>
            <w:vAlign w:val="center"/>
          </w:tcPr>
          <w:p w14:paraId="114EA424">
            <w:pPr>
              <w:jc w:val="center"/>
              <w:rPr>
                <w:rFonts w:ascii="Times New Roman" w:hAnsi="Times New Roman" w:cs="Times New Roman"/>
                <w:sz w:val="21"/>
                <w:szCs w:val="21"/>
              </w:rPr>
            </w:pPr>
          </w:p>
        </w:tc>
        <w:tc>
          <w:tcPr>
            <w:tcW w:w="2227" w:type="dxa"/>
            <w:gridSpan w:val="2"/>
            <w:vMerge w:val="restart"/>
            <w:tcBorders>
              <w:bottom w:val="nil"/>
            </w:tcBorders>
            <w:vAlign w:val="center"/>
          </w:tcPr>
          <w:p w14:paraId="0B8C7F34">
            <w:pPr>
              <w:spacing w:before="65" w:line="228" w:lineRule="auto"/>
              <w:jc w:val="center"/>
              <w:rPr>
                <w:rFonts w:ascii="Times New Roman" w:hAnsi="Times New Roman" w:cs="Times New Roman"/>
                <w:sz w:val="21"/>
                <w:szCs w:val="21"/>
              </w:rPr>
            </w:pPr>
            <w:r>
              <w:rPr>
                <w:rFonts w:ascii="Times New Roman" w:hAnsi="Times New Roman" w:cs="Times New Roman"/>
                <w:spacing w:val="9"/>
                <w:sz w:val="21"/>
                <w:szCs w:val="21"/>
              </w:rPr>
              <w:t>水</w:t>
            </w:r>
            <w:r>
              <w:rPr>
                <w:rFonts w:ascii="Times New Roman" w:hAnsi="Times New Roman" w:cs="Times New Roman"/>
                <w:spacing w:val="6"/>
                <w:sz w:val="21"/>
                <w:szCs w:val="21"/>
              </w:rPr>
              <w:t>流量计</w:t>
            </w:r>
          </w:p>
        </w:tc>
        <w:tc>
          <w:tcPr>
            <w:tcW w:w="2297" w:type="dxa"/>
            <w:vAlign w:val="center"/>
          </w:tcPr>
          <w:p w14:paraId="7E854AAA">
            <w:pPr>
              <w:spacing w:before="131" w:line="228" w:lineRule="auto"/>
              <w:jc w:val="center"/>
              <w:rPr>
                <w:rFonts w:ascii="Times New Roman" w:hAnsi="Times New Roman" w:cs="Times New Roman"/>
                <w:sz w:val="21"/>
                <w:szCs w:val="21"/>
              </w:rPr>
            </w:pPr>
            <w:r>
              <w:rPr>
                <w:rFonts w:ascii="Times New Roman" w:hAnsi="Times New Roman" w:cs="Times New Roman"/>
                <w:spacing w:val="2"/>
                <w:sz w:val="21"/>
                <w:szCs w:val="21"/>
              </w:rPr>
              <w:t>管径不大于 25</w:t>
            </w:r>
            <w:r>
              <w:rPr>
                <w:rFonts w:ascii="Times New Roman" w:hAnsi="Times New Roman" w:cs="Times New Roman"/>
                <w:spacing w:val="1"/>
                <w:sz w:val="21"/>
                <w:szCs w:val="21"/>
              </w:rPr>
              <w:t>0</w:t>
            </w:r>
            <w:r>
              <w:rPr>
                <w:rFonts w:ascii="Times New Roman" w:hAnsi="Times New Roman" w:cs="Times New Roman"/>
                <w:sz w:val="21"/>
                <w:szCs w:val="21"/>
              </w:rPr>
              <w:t>mm</w:t>
            </w:r>
          </w:p>
        </w:tc>
        <w:tc>
          <w:tcPr>
            <w:tcW w:w="3236" w:type="dxa"/>
          </w:tcPr>
          <w:p w14:paraId="2A027A63">
            <w:pPr>
              <w:spacing w:before="131" w:line="230" w:lineRule="auto"/>
              <w:jc w:val="center"/>
              <w:rPr>
                <w:rFonts w:ascii="Times New Roman" w:hAnsi="Times New Roman" w:cs="Times New Roman"/>
                <w:sz w:val="21"/>
                <w:szCs w:val="21"/>
              </w:rPr>
            </w:pPr>
            <w:r>
              <w:rPr>
                <w:rFonts w:ascii="Times New Roman" w:hAnsi="Times New Roman" w:cs="Times New Roman"/>
                <w:spacing w:val="5"/>
                <w:sz w:val="21"/>
                <w:szCs w:val="21"/>
              </w:rPr>
              <w:t>2</w:t>
            </w:r>
            <w:r>
              <w:rPr>
                <w:rFonts w:ascii="Times New Roman" w:hAnsi="Times New Roman" w:cs="Times New Roman"/>
                <w:spacing w:val="4"/>
                <w:sz w:val="21"/>
                <w:szCs w:val="21"/>
              </w:rPr>
              <w:t>.5 级</w:t>
            </w:r>
          </w:p>
        </w:tc>
      </w:tr>
      <w:tr w14:paraId="0F2960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489" w:type="dxa"/>
            <w:vMerge w:val="continue"/>
            <w:tcBorders>
              <w:top w:val="nil"/>
              <w:bottom w:val="nil"/>
            </w:tcBorders>
            <w:vAlign w:val="center"/>
          </w:tcPr>
          <w:p w14:paraId="72F7C5F4">
            <w:pPr>
              <w:jc w:val="center"/>
              <w:rPr>
                <w:rFonts w:ascii="Times New Roman" w:hAnsi="Times New Roman" w:cs="Times New Roman"/>
                <w:sz w:val="21"/>
                <w:szCs w:val="21"/>
              </w:rPr>
            </w:pPr>
          </w:p>
        </w:tc>
        <w:tc>
          <w:tcPr>
            <w:tcW w:w="2227" w:type="dxa"/>
            <w:gridSpan w:val="2"/>
            <w:vMerge w:val="continue"/>
            <w:tcBorders>
              <w:top w:val="nil"/>
            </w:tcBorders>
            <w:vAlign w:val="center"/>
          </w:tcPr>
          <w:p w14:paraId="31FC8D5D">
            <w:pPr>
              <w:jc w:val="center"/>
              <w:rPr>
                <w:rFonts w:ascii="Times New Roman" w:hAnsi="Times New Roman" w:cs="Times New Roman"/>
                <w:sz w:val="21"/>
                <w:szCs w:val="21"/>
              </w:rPr>
            </w:pPr>
          </w:p>
        </w:tc>
        <w:tc>
          <w:tcPr>
            <w:tcW w:w="2297" w:type="dxa"/>
            <w:vAlign w:val="center"/>
          </w:tcPr>
          <w:p w14:paraId="3D5E36AC">
            <w:pPr>
              <w:spacing w:before="130" w:line="228" w:lineRule="auto"/>
              <w:jc w:val="center"/>
              <w:rPr>
                <w:rFonts w:ascii="Times New Roman" w:hAnsi="Times New Roman" w:cs="Times New Roman"/>
                <w:sz w:val="21"/>
                <w:szCs w:val="21"/>
              </w:rPr>
            </w:pPr>
            <w:r>
              <w:rPr>
                <w:rFonts w:ascii="Times New Roman" w:hAnsi="Times New Roman" w:cs="Times New Roman"/>
                <w:spacing w:val="1"/>
                <w:sz w:val="21"/>
                <w:szCs w:val="21"/>
              </w:rPr>
              <w:t>管径大于 250</w:t>
            </w:r>
            <w:r>
              <w:rPr>
                <w:rFonts w:ascii="Times New Roman" w:hAnsi="Times New Roman" w:cs="Times New Roman"/>
                <w:sz w:val="21"/>
                <w:szCs w:val="21"/>
              </w:rPr>
              <w:t>mm</w:t>
            </w:r>
          </w:p>
        </w:tc>
        <w:tc>
          <w:tcPr>
            <w:tcW w:w="3236" w:type="dxa"/>
          </w:tcPr>
          <w:p w14:paraId="6E52EC21">
            <w:pPr>
              <w:spacing w:before="131" w:line="230" w:lineRule="auto"/>
              <w:jc w:val="center"/>
              <w:rPr>
                <w:rFonts w:ascii="Times New Roman" w:hAnsi="Times New Roman" w:cs="Times New Roman"/>
                <w:sz w:val="21"/>
                <w:szCs w:val="21"/>
              </w:rPr>
            </w:pPr>
            <w:r>
              <w:rPr>
                <w:rFonts w:ascii="Times New Roman" w:hAnsi="Times New Roman" w:cs="Times New Roman"/>
                <w:spacing w:val="1"/>
                <w:sz w:val="21"/>
                <w:szCs w:val="21"/>
              </w:rPr>
              <w:t>1</w:t>
            </w:r>
            <w:r>
              <w:rPr>
                <w:rFonts w:ascii="Times New Roman" w:hAnsi="Times New Roman" w:cs="Times New Roman"/>
                <w:sz w:val="21"/>
                <w:szCs w:val="21"/>
              </w:rPr>
              <w:t>.5 级</w:t>
            </w:r>
          </w:p>
        </w:tc>
      </w:tr>
      <w:tr w14:paraId="374E0E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489" w:type="dxa"/>
            <w:vMerge w:val="continue"/>
            <w:tcBorders>
              <w:top w:val="nil"/>
              <w:bottom w:val="nil"/>
            </w:tcBorders>
            <w:vAlign w:val="center"/>
          </w:tcPr>
          <w:p w14:paraId="47E0B99A">
            <w:pPr>
              <w:jc w:val="center"/>
              <w:rPr>
                <w:rFonts w:ascii="Times New Roman" w:hAnsi="Times New Roman" w:cs="Times New Roman"/>
                <w:sz w:val="21"/>
                <w:szCs w:val="21"/>
              </w:rPr>
            </w:pPr>
          </w:p>
        </w:tc>
        <w:tc>
          <w:tcPr>
            <w:tcW w:w="1108" w:type="dxa"/>
            <w:vMerge w:val="restart"/>
            <w:tcBorders>
              <w:bottom w:val="nil"/>
            </w:tcBorders>
            <w:vAlign w:val="center"/>
          </w:tcPr>
          <w:p w14:paraId="49C72E45">
            <w:pPr>
              <w:spacing w:before="65" w:line="229" w:lineRule="auto"/>
              <w:jc w:val="center"/>
              <w:rPr>
                <w:rFonts w:ascii="Times New Roman" w:hAnsi="Times New Roman" w:cs="Times New Roman"/>
                <w:sz w:val="21"/>
                <w:szCs w:val="21"/>
              </w:rPr>
            </w:pPr>
            <w:r>
              <w:rPr>
                <w:rFonts w:ascii="Times New Roman" w:hAnsi="Times New Roman" w:cs="Times New Roman"/>
                <w:spacing w:val="-2"/>
                <w:sz w:val="21"/>
                <w:szCs w:val="21"/>
              </w:rPr>
              <w:t>电</w:t>
            </w:r>
            <w:r>
              <w:rPr>
                <w:rFonts w:ascii="Times New Roman" w:hAnsi="Times New Roman" w:cs="Times New Roman"/>
                <w:spacing w:val="-1"/>
                <w:sz w:val="21"/>
                <w:szCs w:val="21"/>
              </w:rPr>
              <w:t>能表</w:t>
            </w:r>
          </w:p>
        </w:tc>
        <w:tc>
          <w:tcPr>
            <w:tcW w:w="1119" w:type="dxa"/>
            <w:vMerge w:val="restart"/>
            <w:tcBorders>
              <w:bottom w:val="nil"/>
            </w:tcBorders>
            <w:vAlign w:val="center"/>
          </w:tcPr>
          <w:p w14:paraId="6E790F72">
            <w:pPr>
              <w:spacing w:before="65" w:line="438" w:lineRule="auto"/>
              <w:ind w:right="148"/>
              <w:jc w:val="center"/>
              <w:rPr>
                <w:rFonts w:ascii="Times New Roman" w:hAnsi="Times New Roman" w:cs="Times New Roman"/>
                <w:sz w:val="21"/>
                <w:szCs w:val="21"/>
              </w:rPr>
            </w:pPr>
            <w:r>
              <w:rPr>
                <w:rFonts w:ascii="Times New Roman" w:hAnsi="Times New Roman" w:cs="Times New Roman"/>
                <w:spacing w:val="7"/>
                <w:sz w:val="21"/>
                <w:szCs w:val="21"/>
              </w:rPr>
              <w:t>有功交流</w:t>
            </w:r>
            <w:r>
              <w:rPr>
                <w:rFonts w:ascii="Times New Roman" w:hAnsi="Times New Roman" w:cs="Times New Roman"/>
                <w:sz w:val="21"/>
                <w:szCs w:val="21"/>
              </w:rPr>
              <w:t xml:space="preserve"> </w:t>
            </w:r>
            <w:r>
              <w:rPr>
                <w:rFonts w:ascii="Times New Roman" w:hAnsi="Times New Roman" w:cs="Times New Roman"/>
                <w:spacing w:val="-2"/>
                <w:sz w:val="21"/>
                <w:szCs w:val="21"/>
              </w:rPr>
              <w:t>电</w:t>
            </w:r>
            <w:r>
              <w:rPr>
                <w:rFonts w:ascii="Times New Roman" w:hAnsi="Times New Roman" w:cs="Times New Roman"/>
                <w:spacing w:val="-1"/>
                <w:sz w:val="21"/>
                <w:szCs w:val="21"/>
              </w:rPr>
              <w:t>能表</w:t>
            </w:r>
          </w:p>
        </w:tc>
        <w:tc>
          <w:tcPr>
            <w:tcW w:w="2297" w:type="dxa"/>
            <w:vAlign w:val="center"/>
          </w:tcPr>
          <w:p w14:paraId="4FBEAF8E">
            <w:pPr>
              <w:spacing w:before="130" w:line="228" w:lineRule="auto"/>
              <w:ind w:left="672"/>
              <w:jc w:val="center"/>
              <w:rPr>
                <w:rFonts w:ascii="Times New Roman" w:hAnsi="Times New Roman" w:cs="Times New Roman"/>
                <w:sz w:val="21"/>
                <w:szCs w:val="21"/>
              </w:rPr>
            </w:pPr>
            <w:r>
              <w:rPr>
                <w:rFonts w:ascii="Times New Roman" w:hAnsi="Times New Roman" w:cs="Times New Roman"/>
                <w:spacing w:val="8"/>
                <w:sz w:val="21"/>
                <w:szCs w:val="21"/>
              </w:rPr>
              <w:t>Ⅰ</w:t>
            </w:r>
            <w:r>
              <w:rPr>
                <w:rFonts w:ascii="Times New Roman" w:hAnsi="Times New Roman" w:cs="Times New Roman"/>
                <w:spacing w:val="6"/>
                <w:sz w:val="21"/>
                <w:szCs w:val="21"/>
              </w:rPr>
              <w:t>类用户</w:t>
            </w:r>
          </w:p>
        </w:tc>
        <w:tc>
          <w:tcPr>
            <w:tcW w:w="3236" w:type="dxa"/>
            <w:vAlign w:val="center"/>
          </w:tcPr>
          <w:p w14:paraId="0C97B790">
            <w:pPr>
              <w:spacing w:before="93" w:line="281" w:lineRule="exact"/>
              <w:jc w:val="center"/>
              <w:rPr>
                <w:rFonts w:ascii="Times New Roman" w:hAnsi="Times New Roman" w:cs="Times New Roman"/>
                <w:sz w:val="21"/>
                <w:szCs w:val="21"/>
              </w:rPr>
            </w:pPr>
            <w:r>
              <w:rPr>
                <w:rFonts w:ascii="Times New Roman" w:hAnsi="Times New Roman" w:cs="Times New Roman"/>
                <w:position w:val="3"/>
                <w:sz w:val="21"/>
                <w:szCs w:val="21"/>
              </w:rPr>
              <w:t>C</w:t>
            </w:r>
            <w:r>
              <w:rPr>
                <w:rFonts w:ascii="Times New Roman" w:hAnsi="Times New Roman" w:cs="Times New Roman"/>
                <w:spacing w:val="7"/>
                <w:position w:val="3"/>
                <w:sz w:val="21"/>
                <w:szCs w:val="21"/>
              </w:rPr>
              <w:t xml:space="preserve"> </w:t>
            </w:r>
            <w:r>
              <w:rPr>
                <w:rFonts w:ascii="Times New Roman" w:hAnsi="Times New Roman" w:cs="Times New Roman"/>
                <w:spacing w:val="5"/>
                <w:position w:val="3"/>
                <w:sz w:val="21"/>
                <w:szCs w:val="21"/>
              </w:rPr>
              <w:t>级(0.5</w:t>
            </w:r>
            <w:r>
              <w:rPr>
                <w:rFonts w:ascii="Times New Roman" w:hAnsi="Times New Roman" w:cs="Times New Roman"/>
                <w:position w:val="3"/>
                <w:sz w:val="21"/>
                <w:szCs w:val="21"/>
              </w:rPr>
              <w:t>S</w:t>
            </w:r>
            <w:r>
              <w:rPr>
                <w:rFonts w:ascii="Times New Roman" w:hAnsi="Times New Roman" w:cs="Times New Roman"/>
                <w:spacing w:val="5"/>
                <w:position w:val="3"/>
                <w:sz w:val="21"/>
                <w:szCs w:val="21"/>
              </w:rPr>
              <w:t xml:space="preserve"> 级)</w:t>
            </w:r>
          </w:p>
        </w:tc>
      </w:tr>
      <w:tr w14:paraId="4CF082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489" w:type="dxa"/>
            <w:vMerge w:val="continue"/>
            <w:tcBorders>
              <w:top w:val="nil"/>
              <w:bottom w:val="nil"/>
            </w:tcBorders>
            <w:vAlign w:val="center"/>
          </w:tcPr>
          <w:p w14:paraId="748BFFD1">
            <w:pPr>
              <w:jc w:val="center"/>
              <w:rPr>
                <w:rFonts w:ascii="Times New Roman" w:hAnsi="Times New Roman" w:cs="Times New Roman"/>
                <w:sz w:val="21"/>
                <w:szCs w:val="21"/>
              </w:rPr>
            </w:pPr>
          </w:p>
        </w:tc>
        <w:tc>
          <w:tcPr>
            <w:tcW w:w="1108" w:type="dxa"/>
            <w:vMerge w:val="continue"/>
            <w:tcBorders>
              <w:top w:val="nil"/>
              <w:bottom w:val="nil"/>
            </w:tcBorders>
            <w:vAlign w:val="center"/>
          </w:tcPr>
          <w:p w14:paraId="0F8A434C">
            <w:pPr>
              <w:jc w:val="center"/>
              <w:rPr>
                <w:rFonts w:ascii="Times New Roman" w:hAnsi="Times New Roman" w:cs="Times New Roman"/>
                <w:sz w:val="21"/>
                <w:szCs w:val="21"/>
              </w:rPr>
            </w:pPr>
          </w:p>
        </w:tc>
        <w:tc>
          <w:tcPr>
            <w:tcW w:w="1119" w:type="dxa"/>
            <w:vMerge w:val="continue"/>
            <w:tcBorders>
              <w:top w:val="nil"/>
              <w:bottom w:val="nil"/>
            </w:tcBorders>
            <w:vAlign w:val="center"/>
          </w:tcPr>
          <w:p w14:paraId="6528F882">
            <w:pPr>
              <w:jc w:val="center"/>
              <w:rPr>
                <w:rFonts w:ascii="Times New Roman" w:hAnsi="Times New Roman" w:cs="Times New Roman"/>
                <w:sz w:val="21"/>
                <w:szCs w:val="21"/>
              </w:rPr>
            </w:pPr>
          </w:p>
        </w:tc>
        <w:tc>
          <w:tcPr>
            <w:tcW w:w="2297" w:type="dxa"/>
            <w:vAlign w:val="center"/>
          </w:tcPr>
          <w:p w14:paraId="56AC0BCF">
            <w:pPr>
              <w:spacing w:before="131" w:line="228" w:lineRule="auto"/>
              <w:ind w:left="638"/>
              <w:jc w:val="center"/>
              <w:rPr>
                <w:rFonts w:ascii="Times New Roman" w:hAnsi="Times New Roman" w:cs="Times New Roman"/>
                <w:sz w:val="21"/>
                <w:szCs w:val="21"/>
              </w:rPr>
            </w:pPr>
            <w:r>
              <w:rPr>
                <w:rFonts w:ascii="Times New Roman" w:hAnsi="Times New Roman" w:cs="Times New Roman"/>
                <w:spacing w:val="7"/>
                <w:sz w:val="21"/>
                <w:szCs w:val="21"/>
              </w:rPr>
              <w:t>Ⅱ类用户</w:t>
            </w:r>
          </w:p>
        </w:tc>
        <w:tc>
          <w:tcPr>
            <w:tcW w:w="3236" w:type="dxa"/>
            <w:vAlign w:val="center"/>
          </w:tcPr>
          <w:p w14:paraId="7DD53709">
            <w:pPr>
              <w:spacing w:before="93" w:line="281" w:lineRule="exact"/>
              <w:jc w:val="center"/>
              <w:rPr>
                <w:rFonts w:ascii="Times New Roman" w:hAnsi="Times New Roman" w:cs="Times New Roman"/>
                <w:sz w:val="21"/>
                <w:szCs w:val="21"/>
              </w:rPr>
            </w:pPr>
            <w:r>
              <w:rPr>
                <w:rFonts w:ascii="Times New Roman" w:hAnsi="Times New Roman" w:cs="Times New Roman"/>
                <w:position w:val="3"/>
                <w:sz w:val="21"/>
                <w:szCs w:val="21"/>
              </w:rPr>
              <w:t>C</w:t>
            </w:r>
            <w:r>
              <w:rPr>
                <w:rFonts w:ascii="Times New Roman" w:hAnsi="Times New Roman" w:cs="Times New Roman"/>
                <w:spacing w:val="7"/>
                <w:position w:val="3"/>
                <w:sz w:val="21"/>
                <w:szCs w:val="21"/>
              </w:rPr>
              <w:t xml:space="preserve"> </w:t>
            </w:r>
            <w:r>
              <w:rPr>
                <w:rFonts w:ascii="Times New Roman" w:hAnsi="Times New Roman" w:cs="Times New Roman"/>
                <w:spacing w:val="5"/>
                <w:position w:val="3"/>
                <w:sz w:val="21"/>
                <w:szCs w:val="21"/>
              </w:rPr>
              <w:t>级(0.5</w:t>
            </w:r>
            <w:r>
              <w:rPr>
                <w:rFonts w:ascii="Times New Roman" w:hAnsi="Times New Roman" w:cs="Times New Roman"/>
                <w:position w:val="3"/>
                <w:sz w:val="21"/>
                <w:szCs w:val="21"/>
              </w:rPr>
              <w:t>S</w:t>
            </w:r>
            <w:r>
              <w:rPr>
                <w:rFonts w:ascii="Times New Roman" w:hAnsi="Times New Roman" w:cs="Times New Roman"/>
                <w:spacing w:val="5"/>
                <w:position w:val="3"/>
                <w:sz w:val="21"/>
                <w:szCs w:val="21"/>
              </w:rPr>
              <w:t xml:space="preserve"> 级)</w:t>
            </w:r>
          </w:p>
        </w:tc>
      </w:tr>
      <w:tr w14:paraId="001161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489" w:type="dxa"/>
            <w:vMerge w:val="continue"/>
            <w:tcBorders>
              <w:top w:val="nil"/>
              <w:bottom w:val="nil"/>
            </w:tcBorders>
            <w:vAlign w:val="center"/>
          </w:tcPr>
          <w:p w14:paraId="390C3F63">
            <w:pPr>
              <w:jc w:val="center"/>
              <w:rPr>
                <w:rFonts w:ascii="Times New Roman" w:hAnsi="Times New Roman" w:cs="Times New Roman"/>
                <w:sz w:val="21"/>
                <w:szCs w:val="21"/>
              </w:rPr>
            </w:pPr>
          </w:p>
        </w:tc>
        <w:tc>
          <w:tcPr>
            <w:tcW w:w="1108" w:type="dxa"/>
            <w:vMerge w:val="continue"/>
            <w:tcBorders>
              <w:top w:val="nil"/>
              <w:bottom w:val="nil"/>
            </w:tcBorders>
            <w:vAlign w:val="center"/>
          </w:tcPr>
          <w:p w14:paraId="11B4643F">
            <w:pPr>
              <w:jc w:val="center"/>
              <w:rPr>
                <w:rFonts w:ascii="Times New Roman" w:hAnsi="Times New Roman" w:cs="Times New Roman"/>
                <w:sz w:val="21"/>
                <w:szCs w:val="21"/>
              </w:rPr>
            </w:pPr>
          </w:p>
        </w:tc>
        <w:tc>
          <w:tcPr>
            <w:tcW w:w="1119" w:type="dxa"/>
            <w:vMerge w:val="continue"/>
            <w:tcBorders>
              <w:top w:val="nil"/>
              <w:bottom w:val="nil"/>
            </w:tcBorders>
            <w:vAlign w:val="center"/>
          </w:tcPr>
          <w:p w14:paraId="59708533">
            <w:pPr>
              <w:jc w:val="center"/>
              <w:rPr>
                <w:rFonts w:ascii="Times New Roman" w:hAnsi="Times New Roman" w:cs="Times New Roman"/>
                <w:sz w:val="21"/>
                <w:szCs w:val="21"/>
              </w:rPr>
            </w:pPr>
          </w:p>
        </w:tc>
        <w:tc>
          <w:tcPr>
            <w:tcW w:w="2297" w:type="dxa"/>
            <w:vAlign w:val="center"/>
          </w:tcPr>
          <w:p w14:paraId="784FA8D8">
            <w:pPr>
              <w:spacing w:before="133" w:line="228" w:lineRule="auto"/>
              <w:ind w:left="605"/>
              <w:jc w:val="center"/>
              <w:rPr>
                <w:rFonts w:ascii="Times New Roman" w:hAnsi="Times New Roman" w:cs="Times New Roman"/>
                <w:sz w:val="21"/>
                <w:szCs w:val="21"/>
              </w:rPr>
            </w:pPr>
            <w:r>
              <w:rPr>
                <w:rFonts w:ascii="Times New Roman" w:hAnsi="Times New Roman" w:cs="Times New Roman"/>
                <w:spacing w:val="9"/>
                <w:sz w:val="21"/>
                <w:szCs w:val="21"/>
              </w:rPr>
              <w:t>Ⅲ</w:t>
            </w:r>
            <w:r>
              <w:rPr>
                <w:rFonts w:ascii="Times New Roman" w:hAnsi="Times New Roman" w:cs="Times New Roman"/>
                <w:spacing w:val="8"/>
                <w:sz w:val="21"/>
                <w:szCs w:val="21"/>
              </w:rPr>
              <w:t>类用户</w:t>
            </w:r>
          </w:p>
        </w:tc>
        <w:tc>
          <w:tcPr>
            <w:tcW w:w="3236" w:type="dxa"/>
            <w:vAlign w:val="center"/>
          </w:tcPr>
          <w:p w14:paraId="59946C16">
            <w:pPr>
              <w:spacing w:before="93" w:line="281" w:lineRule="exact"/>
              <w:jc w:val="center"/>
              <w:rPr>
                <w:rFonts w:ascii="Times New Roman" w:hAnsi="Times New Roman" w:cs="Times New Roman"/>
                <w:sz w:val="21"/>
                <w:szCs w:val="21"/>
              </w:rPr>
            </w:pPr>
            <w:r>
              <w:rPr>
                <w:rFonts w:ascii="Times New Roman" w:hAnsi="Times New Roman" w:cs="Times New Roman"/>
                <w:position w:val="3"/>
                <w:sz w:val="21"/>
                <w:szCs w:val="21"/>
              </w:rPr>
              <w:t>B</w:t>
            </w:r>
            <w:r>
              <w:rPr>
                <w:rFonts w:ascii="Times New Roman" w:hAnsi="Times New Roman" w:cs="Times New Roman"/>
                <w:spacing w:val="9"/>
                <w:position w:val="3"/>
                <w:sz w:val="21"/>
                <w:szCs w:val="21"/>
              </w:rPr>
              <w:t xml:space="preserve"> </w:t>
            </w:r>
            <w:r>
              <w:rPr>
                <w:rFonts w:ascii="Times New Roman" w:hAnsi="Times New Roman" w:cs="Times New Roman"/>
                <w:spacing w:val="5"/>
                <w:position w:val="3"/>
                <w:sz w:val="21"/>
                <w:szCs w:val="21"/>
              </w:rPr>
              <w:t>级(1</w:t>
            </w:r>
            <w:r>
              <w:rPr>
                <w:rFonts w:hint="eastAsia" w:ascii="Times New Roman" w:hAnsi="Times New Roman" w:cs="Times New Roman"/>
                <w:spacing w:val="5"/>
                <w:position w:val="3"/>
                <w:sz w:val="21"/>
                <w:szCs w:val="21"/>
                <w:lang w:eastAsia="zh-CN"/>
              </w:rPr>
              <w:t>.0</w:t>
            </w:r>
            <w:r>
              <w:rPr>
                <w:rFonts w:ascii="Times New Roman" w:hAnsi="Times New Roman" w:cs="Times New Roman"/>
                <w:spacing w:val="5"/>
                <w:position w:val="3"/>
                <w:sz w:val="21"/>
                <w:szCs w:val="21"/>
              </w:rPr>
              <w:t xml:space="preserve"> 级)</w:t>
            </w:r>
          </w:p>
        </w:tc>
      </w:tr>
      <w:tr w14:paraId="00AEB1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489" w:type="dxa"/>
            <w:vMerge w:val="continue"/>
            <w:tcBorders>
              <w:top w:val="nil"/>
              <w:bottom w:val="nil"/>
            </w:tcBorders>
            <w:vAlign w:val="center"/>
          </w:tcPr>
          <w:p w14:paraId="76F67F3D">
            <w:pPr>
              <w:jc w:val="center"/>
              <w:rPr>
                <w:rFonts w:ascii="Times New Roman" w:hAnsi="Times New Roman" w:cs="Times New Roman"/>
                <w:sz w:val="21"/>
                <w:szCs w:val="21"/>
              </w:rPr>
            </w:pPr>
          </w:p>
        </w:tc>
        <w:tc>
          <w:tcPr>
            <w:tcW w:w="1108" w:type="dxa"/>
            <w:vMerge w:val="continue"/>
            <w:tcBorders>
              <w:top w:val="nil"/>
              <w:bottom w:val="nil"/>
            </w:tcBorders>
            <w:vAlign w:val="center"/>
          </w:tcPr>
          <w:p w14:paraId="2195D13B">
            <w:pPr>
              <w:jc w:val="center"/>
              <w:rPr>
                <w:rFonts w:ascii="Times New Roman" w:hAnsi="Times New Roman" w:cs="Times New Roman"/>
                <w:sz w:val="21"/>
                <w:szCs w:val="21"/>
              </w:rPr>
            </w:pPr>
          </w:p>
        </w:tc>
        <w:tc>
          <w:tcPr>
            <w:tcW w:w="1119" w:type="dxa"/>
            <w:vMerge w:val="continue"/>
            <w:tcBorders>
              <w:top w:val="nil"/>
              <w:bottom w:val="nil"/>
            </w:tcBorders>
            <w:vAlign w:val="center"/>
          </w:tcPr>
          <w:p w14:paraId="44BB0260">
            <w:pPr>
              <w:jc w:val="center"/>
              <w:rPr>
                <w:rFonts w:ascii="Times New Roman" w:hAnsi="Times New Roman" w:cs="Times New Roman"/>
                <w:sz w:val="21"/>
                <w:szCs w:val="21"/>
              </w:rPr>
            </w:pPr>
          </w:p>
        </w:tc>
        <w:tc>
          <w:tcPr>
            <w:tcW w:w="2297" w:type="dxa"/>
            <w:vAlign w:val="center"/>
          </w:tcPr>
          <w:p w14:paraId="2B2A6A06">
            <w:pPr>
              <w:spacing w:before="133" w:line="228" w:lineRule="auto"/>
              <w:ind w:left="595"/>
              <w:jc w:val="center"/>
              <w:rPr>
                <w:rFonts w:ascii="Times New Roman" w:hAnsi="Times New Roman" w:cs="Times New Roman"/>
                <w:sz w:val="21"/>
                <w:szCs w:val="21"/>
              </w:rPr>
            </w:pPr>
            <w:r>
              <w:rPr>
                <w:rFonts w:ascii="Times New Roman" w:hAnsi="Times New Roman" w:cs="Times New Roman"/>
                <w:spacing w:val="10"/>
                <w:sz w:val="21"/>
                <w:szCs w:val="21"/>
              </w:rPr>
              <w:t>Ⅳ</w:t>
            </w:r>
            <w:r>
              <w:rPr>
                <w:rFonts w:ascii="Times New Roman" w:hAnsi="Times New Roman" w:cs="Times New Roman"/>
                <w:spacing w:val="8"/>
                <w:sz w:val="21"/>
                <w:szCs w:val="21"/>
              </w:rPr>
              <w:t>类用户</w:t>
            </w:r>
          </w:p>
        </w:tc>
        <w:tc>
          <w:tcPr>
            <w:tcW w:w="3236" w:type="dxa"/>
            <w:vAlign w:val="center"/>
          </w:tcPr>
          <w:p w14:paraId="699D35CA">
            <w:pPr>
              <w:spacing w:before="94" w:line="281" w:lineRule="exact"/>
              <w:jc w:val="center"/>
              <w:rPr>
                <w:rFonts w:ascii="Times New Roman" w:hAnsi="Times New Roman" w:cs="Times New Roman"/>
                <w:sz w:val="21"/>
                <w:szCs w:val="21"/>
              </w:rPr>
            </w:pPr>
            <w:r>
              <w:rPr>
                <w:rFonts w:ascii="Times New Roman" w:hAnsi="Times New Roman" w:cs="Times New Roman"/>
                <w:position w:val="3"/>
                <w:sz w:val="21"/>
                <w:szCs w:val="21"/>
              </w:rPr>
              <w:t>A</w:t>
            </w:r>
            <w:r>
              <w:rPr>
                <w:rFonts w:ascii="Times New Roman" w:hAnsi="Times New Roman" w:cs="Times New Roman"/>
                <w:spacing w:val="6"/>
                <w:position w:val="3"/>
                <w:sz w:val="21"/>
                <w:szCs w:val="21"/>
              </w:rPr>
              <w:t xml:space="preserve"> 级(2</w:t>
            </w:r>
            <w:r>
              <w:rPr>
                <w:rFonts w:hint="eastAsia" w:ascii="Times New Roman" w:hAnsi="Times New Roman" w:cs="Times New Roman"/>
                <w:spacing w:val="6"/>
                <w:position w:val="3"/>
                <w:sz w:val="21"/>
                <w:szCs w:val="21"/>
                <w:lang w:eastAsia="zh-CN"/>
              </w:rPr>
              <w:t>.0</w:t>
            </w:r>
            <w:r>
              <w:rPr>
                <w:rFonts w:ascii="Times New Roman" w:hAnsi="Times New Roman" w:cs="Times New Roman"/>
                <w:spacing w:val="6"/>
                <w:position w:val="3"/>
                <w:sz w:val="21"/>
                <w:szCs w:val="21"/>
              </w:rPr>
              <w:t xml:space="preserve"> 级)</w:t>
            </w:r>
          </w:p>
        </w:tc>
      </w:tr>
      <w:tr w14:paraId="03014B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489" w:type="dxa"/>
            <w:vMerge w:val="continue"/>
            <w:tcBorders>
              <w:top w:val="nil"/>
              <w:bottom w:val="nil"/>
            </w:tcBorders>
            <w:vAlign w:val="center"/>
          </w:tcPr>
          <w:p w14:paraId="6043EE44">
            <w:pPr>
              <w:jc w:val="center"/>
              <w:rPr>
                <w:rFonts w:ascii="Times New Roman" w:hAnsi="Times New Roman" w:cs="Times New Roman"/>
                <w:sz w:val="21"/>
                <w:szCs w:val="21"/>
              </w:rPr>
            </w:pPr>
          </w:p>
        </w:tc>
        <w:tc>
          <w:tcPr>
            <w:tcW w:w="1108" w:type="dxa"/>
            <w:vMerge w:val="continue"/>
            <w:tcBorders>
              <w:top w:val="nil"/>
            </w:tcBorders>
            <w:vAlign w:val="center"/>
          </w:tcPr>
          <w:p w14:paraId="5AE5AA56">
            <w:pPr>
              <w:jc w:val="center"/>
              <w:rPr>
                <w:rFonts w:ascii="Times New Roman" w:hAnsi="Times New Roman" w:cs="Times New Roman"/>
                <w:sz w:val="21"/>
                <w:szCs w:val="21"/>
              </w:rPr>
            </w:pPr>
          </w:p>
        </w:tc>
        <w:tc>
          <w:tcPr>
            <w:tcW w:w="1119" w:type="dxa"/>
            <w:vMerge w:val="continue"/>
            <w:tcBorders>
              <w:top w:val="nil"/>
            </w:tcBorders>
            <w:vAlign w:val="center"/>
          </w:tcPr>
          <w:p w14:paraId="25C543AD">
            <w:pPr>
              <w:jc w:val="center"/>
              <w:rPr>
                <w:rFonts w:ascii="Times New Roman" w:hAnsi="Times New Roman" w:cs="Times New Roman"/>
                <w:sz w:val="21"/>
                <w:szCs w:val="21"/>
              </w:rPr>
            </w:pPr>
          </w:p>
        </w:tc>
        <w:tc>
          <w:tcPr>
            <w:tcW w:w="2297" w:type="dxa"/>
            <w:vAlign w:val="center"/>
          </w:tcPr>
          <w:p w14:paraId="38DB023F">
            <w:pPr>
              <w:spacing w:before="133" w:line="228" w:lineRule="auto"/>
              <w:ind w:left="628"/>
              <w:jc w:val="center"/>
              <w:rPr>
                <w:rFonts w:ascii="Times New Roman" w:hAnsi="Times New Roman" w:cs="Times New Roman"/>
                <w:sz w:val="21"/>
                <w:szCs w:val="21"/>
              </w:rPr>
            </w:pPr>
            <w:r>
              <w:rPr>
                <w:rFonts w:ascii="Times New Roman" w:hAnsi="Times New Roman" w:cs="Times New Roman"/>
                <w:spacing w:val="9"/>
                <w:sz w:val="21"/>
                <w:szCs w:val="21"/>
              </w:rPr>
              <w:t>Ⅴ</w:t>
            </w:r>
            <w:r>
              <w:rPr>
                <w:rFonts w:ascii="Times New Roman" w:hAnsi="Times New Roman" w:cs="Times New Roman"/>
                <w:spacing w:val="8"/>
                <w:sz w:val="21"/>
                <w:szCs w:val="21"/>
              </w:rPr>
              <w:t>类用户</w:t>
            </w:r>
          </w:p>
        </w:tc>
        <w:tc>
          <w:tcPr>
            <w:tcW w:w="3236" w:type="dxa"/>
            <w:vAlign w:val="center"/>
          </w:tcPr>
          <w:p w14:paraId="573770B6">
            <w:pPr>
              <w:spacing w:before="93" w:line="281" w:lineRule="exact"/>
              <w:jc w:val="center"/>
              <w:rPr>
                <w:rFonts w:ascii="Times New Roman" w:hAnsi="Times New Roman" w:cs="Times New Roman"/>
                <w:sz w:val="21"/>
                <w:szCs w:val="21"/>
              </w:rPr>
            </w:pPr>
            <w:r>
              <w:rPr>
                <w:rFonts w:ascii="Times New Roman" w:hAnsi="Times New Roman" w:cs="Times New Roman"/>
                <w:position w:val="3"/>
                <w:sz w:val="21"/>
                <w:szCs w:val="21"/>
              </w:rPr>
              <w:t>A</w:t>
            </w:r>
            <w:r>
              <w:rPr>
                <w:rFonts w:ascii="Times New Roman" w:hAnsi="Times New Roman" w:cs="Times New Roman"/>
                <w:spacing w:val="6"/>
                <w:position w:val="3"/>
                <w:sz w:val="21"/>
                <w:szCs w:val="21"/>
              </w:rPr>
              <w:t xml:space="preserve"> 级(2</w:t>
            </w:r>
            <w:r>
              <w:rPr>
                <w:rFonts w:hint="eastAsia" w:ascii="Times New Roman" w:hAnsi="Times New Roman" w:cs="Times New Roman"/>
                <w:spacing w:val="6"/>
                <w:position w:val="3"/>
                <w:sz w:val="21"/>
                <w:szCs w:val="21"/>
                <w:lang w:eastAsia="zh-CN"/>
              </w:rPr>
              <w:t>.0</w:t>
            </w:r>
            <w:r>
              <w:rPr>
                <w:rFonts w:ascii="Times New Roman" w:hAnsi="Times New Roman" w:cs="Times New Roman"/>
                <w:spacing w:val="6"/>
                <w:position w:val="3"/>
                <w:sz w:val="21"/>
                <w:szCs w:val="21"/>
              </w:rPr>
              <w:t xml:space="preserve"> 级)</w:t>
            </w:r>
          </w:p>
        </w:tc>
      </w:tr>
      <w:tr w14:paraId="223FD4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489" w:type="dxa"/>
            <w:vMerge w:val="continue"/>
            <w:tcBorders>
              <w:top w:val="nil"/>
              <w:bottom w:val="nil"/>
            </w:tcBorders>
            <w:vAlign w:val="center"/>
          </w:tcPr>
          <w:p w14:paraId="1FA2AF62">
            <w:pPr>
              <w:jc w:val="center"/>
              <w:rPr>
                <w:rFonts w:ascii="Times New Roman" w:hAnsi="Times New Roman" w:cs="Times New Roman"/>
                <w:sz w:val="21"/>
                <w:szCs w:val="21"/>
              </w:rPr>
            </w:pPr>
          </w:p>
        </w:tc>
        <w:tc>
          <w:tcPr>
            <w:tcW w:w="4524" w:type="dxa"/>
            <w:gridSpan w:val="3"/>
            <w:vAlign w:val="center"/>
          </w:tcPr>
          <w:p w14:paraId="75DA9835">
            <w:pPr>
              <w:spacing w:before="132" w:line="228" w:lineRule="auto"/>
              <w:jc w:val="center"/>
              <w:rPr>
                <w:rFonts w:ascii="Times New Roman" w:hAnsi="Times New Roman" w:cs="Times New Roman"/>
                <w:sz w:val="21"/>
                <w:szCs w:val="21"/>
              </w:rPr>
            </w:pPr>
            <w:r>
              <w:rPr>
                <w:rFonts w:ascii="Times New Roman" w:hAnsi="Times New Roman" w:cs="Times New Roman"/>
                <w:spacing w:val="8"/>
                <w:sz w:val="21"/>
                <w:szCs w:val="21"/>
              </w:rPr>
              <w:t>温度测量仪</w:t>
            </w:r>
            <w:r>
              <w:rPr>
                <w:rFonts w:ascii="Times New Roman" w:hAnsi="Times New Roman" w:cs="Times New Roman"/>
                <w:spacing w:val="7"/>
                <w:sz w:val="21"/>
                <w:szCs w:val="21"/>
              </w:rPr>
              <w:t>表</w:t>
            </w:r>
          </w:p>
        </w:tc>
        <w:tc>
          <w:tcPr>
            <w:tcW w:w="3236" w:type="dxa"/>
            <w:vAlign w:val="center"/>
          </w:tcPr>
          <w:p w14:paraId="74F88D08">
            <w:pPr>
              <w:spacing w:before="133" w:line="230" w:lineRule="auto"/>
              <w:jc w:val="center"/>
              <w:rPr>
                <w:rFonts w:ascii="Times New Roman" w:hAnsi="Times New Roman" w:cs="Times New Roman"/>
                <w:sz w:val="21"/>
                <w:szCs w:val="21"/>
              </w:rPr>
            </w:pPr>
            <w:r>
              <w:rPr>
                <w:rFonts w:ascii="Times New Roman" w:hAnsi="Times New Roman" w:cs="Times New Roman"/>
                <w:spacing w:val="5"/>
                <w:sz w:val="21"/>
                <w:szCs w:val="21"/>
              </w:rPr>
              <w:t>2</w:t>
            </w:r>
            <w:r>
              <w:rPr>
                <w:rFonts w:ascii="Times New Roman" w:hAnsi="Times New Roman" w:cs="Times New Roman"/>
                <w:spacing w:val="4"/>
                <w:sz w:val="21"/>
                <w:szCs w:val="21"/>
              </w:rPr>
              <w:t>.0 级</w:t>
            </w:r>
          </w:p>
        </w:tc>
      </w:tr>
      <w:tr w14:paraId="268D87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489" w:type="dxa"/>
            <w:vMerge w:val="continue"/>
            <w:tcBorders>
              <w:top w:val="nil"/>
            </w:tcBorders>
            <w:vAlign w:val="center"/>
          </w:tcPr>
          <w:p w14:paraId="4CCD51CF">
            <w:pPr>
              <w:jc w:val="center"/>
              <w:rPr>
                <w:rFonts w:ascii="Times New Roman" w:hAnsi="Times New Roman" w:cs="Times New Roman"/>
                <w:sz w:val="21"/>
                <w:szCs w:val="21"/>
              </w:rPr>
            </w:pPr>
          </w:p>
        </w:tc>
        <w:tc>
          <w:tcPr>
            <w:tcW w:w="4524" w:type="dxa"/>
            <w:gridSpan w:val="3"/>
            <w:vAlign w:val="center"/>
          </w:tcPr>
          <w:p w14:paraId="4D4E29B6">
            <w:pPr>
              <w:spacing w:before="133" w:line="228" w:lineRule="auto"/>
              <w:jc w:val="center"/>
              <w:rPr>
                <w:rFonts w:ascii="Times New Roman" w:hAnsi="Times New Roman" w:cs="Times New Roman"/>
                <w:sz w:val="21"/>
                <w:szCs w:val="21"/>
              </w:rPr>
            </w:pPr>
            <w:r>
              <w:rPr>
                <w:rFonts w:ascii="Times New Roman" w:hAnsi="Times New Roman" w:cs="Times New Roman"/>
                <w:spacing w:val="8"/>
                <w:sz w:val="21"/>
                <w:szCs w:val="21"/>
              </w:rPr>
              <w:t>压力测量仪表</w:t>
            </w:r>
          </w:p>
        </w:tc>
        <w:tc>
          <w:tcPr>
            <w:tcW w:w="3236" w:type="dxa"/>
            <w:vAlign w:val="center"/>
          </w:tcPr>
          <w:p w14:paraId="5B54CBB6">
            <w:pPr>
              <w:spacing w:before="133" w:line="230" w:lineRule="auto"/>
              <w:jc w:val="center"/>
              <w:rPr>
                <w:rFonts w:ascii="Times New Roman" w:hAnsi="Times New Roman" w:cs="Times New Roman"/>
                <w:sz w:val="21"/>
                <w:szCs w:val="21"/>
              </w:rPr>
            </w:pPr>
            <w:r>
              <w:rPr>
                <w:rFonts w:ascii="Times New Roman" w:hAnsi="Times New Roman" w:cs="Times New Roman"/>
                <w:spacing w:val="1"/>
                <w:sz w:val="21"/>
                <w:szCs w:val="21"/>
              </w:rPr>
              <w:t>1</w:t>
            </w:r>
            <w:r>
              <w:rPr>
                <w:rFonts w:ascii="Times New Roman" w:hAnsi="Times New Roman" w:cs="Times New Roman"/>
                <w:sz w:val="21"/>
                <w:szCs w:val="21"/>
              </w:rPr>
              <w:t>.6 级</w:t>
            </w:r>
          </w:p>
        </w:tc>
      </w:tr>
      <w:tr w14:paraId="5A9C9C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249" w:type="dxa"/>
            <w:gridSpan w:val="5"/>
            <w:vAlign w:val="center"/>
          </w:tcPr>
          <w:p w14:paraId="27DB198C">
            <w:pPr>
              <w:spacing w:before="113"/>
              <w:ind w:left="113" w:right="107" w:firstLine="3"/>
              <w:rPr>
                <w:rFonts w:ascii="Times New Roman" w:hAnsi="Times New Roman" w:eastAsia="仿宋" w:cs="Times New Roman"/>
                <w:sz w:val="21"/>
                <w:szCs w:val="21"/>
              </w:rPr>
            </w:pPr>
            <w:r>
              <w:rPr>
                <w:rFonts w:ascii="Times New Roman" w:hAnsi="Times New Roman" w:eastAsia="仿宋" w:cs="Times New Roman"/>
                <w:spacing w:val="14"/>
                <w:position w:val="1"/>
                <w:sz w:val="21"/>
                <w:szCs w:val="21"/>
              </w:rPr>
              <w:t>注:</w:t>
            </w:r>
            <w:r>
              <w:rPr>
                <w:rFonts w:ascii="Times New Roman" w:hAnsi="Times New Roman" w:eastAsia="仿宋" w:cs="Times New Roman"/>
                <w:spacing w:val="13"/>
                <w:position w:val="1"/>
                <w:sz w:val="21"/>
                <w:szCs w:val="21"/>
              </w:rPr>
              <w:t>1</w:t>
            </w:r>
            <w:r>
              <w:rPr>
                <w:rFonts w:ascii="Times New Roman" w:hAnsi="Times New Roman" w:eastAsia="仿宋" w:cs="Times New Roman"/>
                <w:spacing w:val="7"/>
                <w:position w:val="1"/>
                <w:sz w:val="21"/>
                <w:szCs w:val="21"/>
              </w:rPr>
              <w:t xml:space="preserve">.运行中的电能计量装置按其所计量电能的多少，将用户分为五类。Ⅰ类用户为月平均用电量 500 万 </w:t>
            </w:r>
            <w:r>
              <w:rPr>
                <w:rFonts w:ascii="Times New Roman" w:hAnsi="Times New Roman" w:eastAsia="仿宋" w:cs="Times New Roman"/>
                <w:position w:val="1"/>
                <w:sz w:val="21"/>
                <w:szCs w:val="21"/>
              </w:rPr>
              <w:t>kWh</w:t>
            </w:r>
            <w:r>
              <w:rPr>
                <w:rFonts w:ascii="Times New Roman" w:hAnsi="Times New Roman" w:eastAsia="仿宋" w:cs="Times New Roman"/>
                <w:spacing w:val="7"/>
                <w:position w:val="1"/>
                <w:sz w:val="21"/>
                <w:szCs w:val="21"/>
              </w:rPr>
              <w:t xml:space="preserve"> 及以上</w:t>
            </w:r>
            <w:r>
              <w:rPr>
                <w:rFonts w:ascii="Times New Roman" w:hAnsi="Times New Roman" w:eastAsia="仿宋" w:cs="Times New Roman"/>
                <w:spacing w:val="14"/>
                <w:sz w:val="21"/>
                <w:szCs w:val="21"/>
              </w:rPr>
              <w:t>或变压器容</w:t>
            </w:r>
            <w:r>
              <w:rPr>
                <w:rFonts w:ascii="Times New Roman" w:hAnsi="Times New Roman" w:eastAsia="仿宋" w:cs="Times New Roman"/>
                <w:spacing w:val="13"/>
                <w:sz w:val="21"/>
                <w:szCs w:val="21"/>
              </w:rPr>
              <w:t>量</w:t>
            </w:r>
            <w:r>
              <w:rPr>
                <w:rFonts w:ascii="Times New Roman" w:hAnsi="Times New Roman" w:eastAsia="仿宋" w:cs="Times New Roman"/>
                <w:spacing w:val="7"/>
                <w:sz w:val="21"/>
                <w:szCs w:val="21"/>
              </w:rPr>
              <w:t xml:space="preserve">为 10000 </w:t>
            </w:r>
            <w:r>
              <w:rPr>
                <w:rFonts w:ascii="Times New Roman" w:hAnsi="Times New Roman" w:eastAsia="仿宋" w:cs="Times New Roman"/>
                <w:sz w:val="21"/>
                <w:szCs w:val="21"/>
              </w:rPr>
              <w:t>kVA</w:t>
            </w:r>
            <w:r>
              <w:rPr>
                <w:rFonts w:ascii="Times New Roman" w:hAnsi="Times New Roman" w:eastAsia="仿宋" w:cs="Times New Roman"/>
                <w:spacing w:val="7"/>
                <w:sz w:val="21"/>
                <w:szCs w:val="21"/>
              </w:rPr>
              <w:t xml:space="preserve"> 及以上的高压计费用户；Ⅱ类用户为小于 </w:t>
            </w:r>
            <w:r>
              <w:rPr>
                <w:rFonts w:ascii="Times New Roman" w:hAnsi="Times New Roman" w:eastAsia="仿宋" w:cs="Times New Roman"/>
                <w:sz w:val="21"/>
                <w:szCs w:val="21"/>
              </w:rPr>
              <w:t>I</w:t>
            </w:r>
            <w:r>
              <w:rPr>
                <w:rFonts w:ascii="Times New Roman" w:hAnsi="Times New Roman" w:eastAsia="仿宋" w:cs="Times New Roman"/>
                <w:spacing w:val="7"/>
                <w:sz w:val="21"/>
                <w:szCs w:val="21"/>
              </w:rPr>
              <w:t xml:space="preserve"> 类用户用电 (或变压器容量)但月平均用电，</w:t>
            </w:r>
            <w:r>
              <w:rPr>
                <w:rFonts w:ascii="Times New Roman" w:hAnsi="Times New Roman" w:eastAsia="仿宋" w:cs="Times New Roman"/>
                <w:spacing w:val="14"/>
                <w:sz w:val="21"/>
                <w:szCs w:val="21"/>
              </w:rPr>
              <w:t>10</w:t>
            </w:r>
            <w:r>
              <w:rPr>
                <w:rFonts w:ascii="Times New Roman" w:hAnsi="Times New Roman" w:eastAsia="仿宋" w:cs="Times New Roman"/>
                <w:spacing w:val="11"/>
                <w:sz w:val="21"/>
                <w:szCs w:val="21"/>
              </w:rPr>
              <w:t>0</w:t>
            </w:r>
            <w:r>
              <w:rPr>
                <w:rFonts w:ascii="Times New Roman" w:hAnsi="Times New Roman" w:eastAsia="仿宋" w:cs="Times New Roman"/>
                <w:spacing w:val="7"/>
                <w:sz w:val="21"/>
                <w:szCs w:val="21"/>
              </w:rPr>
              <w:t xml:space="preserve"> 万 </w:t>
            </w:r>
            <w:r>
              <w:rPr>
                <w:rFonts w:ascii="Times New Roman" w:hAnsi="Times New Roman" w:eastAsia="仿宋" w:cs="Times New Roman"/>
                <w:sz w:val="21"/>
                <w:szCs w:val="21"/>
              </w:rPr>
              <w:t>kWh</w:t>
            </w:r>
            <w:r>
              <w:rPr>
                <w:rFonts w:ascii="Times New Roman" w:hAnsi="Times New Roman" w:eastAsia="仿宋" w:cs="Times New Roman"/>
                <w:spacing w:val="7"/>
                <w:sz w:val="21"/>
                <w:szCs w:val="21"/>
              </w:rPr>
              <w:t xml:space="preserve"> 及以上或变压器量为2000</w:t>
            </w:r>
            <w:r>
              <w:rPr>
                <w:rFonts w:ascii="Times New Roman" w:hAnsi="Times New Roman" w:eastAsia="仿宋" w:cs="Times New Roman"/>
                <w:sz w:val="21"/>
                <w:szCs w:val="21"/>
              </w:rPr>
              <w:t>kVA</w:t>
            </w:r>
            <w:r>
              <w:rPr>
                <w:rFonts w:ascii="Times New Roman" w:hAnsi="Times New Roman" w:eastAsia="仿宋" w:cs="Times New Roman"/>
                <w:spacing w:val="7"/>
                <w:sz w:val="21"/>
                <w:szCs w:val="21"/>
              </w:rPr>
              <w:t xml:space="preserve"> 及以上的高压计费用户；Ⅲ类用户为小于Ⅱ类用户用电量(或变压器容量)</w:t>
            </w:r>
            <w:r>
              <w:rPr>
                <w:rFonts w:ascii="Times New Roman" w:hAnsi="Times New Roman" w:eastAsia="仿宋" w:cs="Times New Roman"/>
                <w:sz w:val="21"/>
                <w:szCs w:val="21"/>
              </w:rPr>
              <w:t xml:space="preserve"> </w:t>
            </w:r>
            <w:r>
              <w:rPr>
                <w:rFonts w:ascii="Times New Roman" w:hAnsi="Times New Roman" w:eastAsia="仿宋" w:cs="Times New Roman"/>
                <w:spacing w:val="6"/>
                <w:sz w:val="21"/>
                <w:szCs w:val="21"/>
              </w:rPr>
              <w:t xml:space="preserve">但月平均用电量 10 万 </w:t>
            </w:r>
            <w:r>
              <w:rPr>
                <w:rFonts w:ascii="Times New Roman" w:hAnsi="Times New Roman" w:eastAsia="仿宋" w:cs="Times New Roman"/>
                <w:sz w:val="21"/>
                <w:szCs w:val="21"/>
              </w:rPr>
              <w:t>kWh</w:t>
            </w:r>
            <w:r>
              <w:rPr>
                <w:rFonts w:ascii="Times New Roman" w:hAnsi="Times New Roman" w:eastAsia="仿宋" w:cs="Times New Roman"/>
                <w:spacing w:val="6"/>
                <w:sz w:val="21"/>
                <w:szCs w:val="21"/>
              </w:rPr>
              <w:t xml:space="preserve"> 及以上或变压器容量为 315</w:t>
            </w:r>
            <w:r>
              <w:rPr>
                <w:rFonts w:ascii="Times New Roman" w:hAnsi="Times New Roman" w:eastAsia="仿宋" w:cs="Times New Roman"/>
                <w:sz w:val="21"/>
                <w:szCs w:val="21"/>
              </w:rPr>
              <w:t>kVA</w:t>
            </w:r>
            <w:r>
              <w:rPr>
                <w:rFonts w:ascii="Times New Roman" w:hAnsi="Times New Roman" w:eastAsia="仿宋" w:cs="Times New Roman"/>
                <w:spacing w:val="6"/>
                <w:sz w:val="21"/>
                <w:szCs w:val="21"/>
              </w:rPr>
              <w:t xml:space="preserve"> 及以上的计费用户；Ⅳ类用户为负荷容量为 315 </w:t>
            </w:r>
            <w:r>
              <w:rPr>
                <w:rFonts w:ascii="Times New Roman" w:hAnsi="Times New Roman" w:eastAsia="仿宋" w:cs="Times New Roman"/>
                <w:sz w:val="21"/>
                <w:szCs w:val="21"/>
              </w:rPr>
              <w:t>kVA</w:t>
            </w:r>
            <w:r>
              <w:rPr>
                <w:rFonts w:ascii="Times New Roman" w:hAnsi="Times New Roman" w:eastAsia="仿宋" w:cs="Times New Roman"/>
                <w:spacing w:val="6"/>
                <w:sz w:val="21"/>
                <w:szCs w:val="21"/>
              </w:rPr>
              <w:t xml:space="preserve"> 以</w:t>
            </w:r>
            <w:r>
              <w:rPr>
                <w:rFonts w:ascii="Times New Roman" w:hAnsi="Times New Roman" w:eastAsia="仿宋" w:cs="Times New Roman"/>
                <w:sz w:val="21"/>
                <w:szCs w:val="21"/>
              </w:rPr>
              <w:t xml:space="preserve"> </w:t>
            </w:r>
            <w:r>
              <w:rPr>
                <w:rFonts w:ascii="Times New Roman" w:hAnsi="Times New Roman" w:eastAsia="仿宋" w:cs="Times New Roman"/>
                <w:spacing w:val="15"/>
                <w:sz w:val="21"/>
                <w:szCs w:val="21"/>
              </w:rPr>
              <w:t>下</w:t>
            </w:r>
            <w:r>
              <w:rPr>
                <w:rFonts w:ascii="Times New Roman" w:hAnsi="Times New Roman" w:eastAsia="仿宋" w:cs="Times New Roman"/>
                <w:spacing w:val="9"/>
                <w:sz w:val="21"/>
                <w:szCs w:val="21"/>
              </w:rPr>
              <w:t>的计费用户；</w:t>
            </w:r>
            <w:r>
              <w:rPr>
                <w:rFonts w:ascii="Times New Roman" w:hAnsi="Times New Roman" w:eastAsia="仿宋" w:cs="Times New Roman"/>
                <w:sz w:val="21"/>
                <w:szCs w:val="21"/>
              </w:rPr>
              <w:t>V</w:t>
            </w:r>
            <w:r>
              <w:rPr>
                <w:rFonts w:ascii="Times New Roman" w:hAnsi="Times New Roman" w:eastAsia="仿宋" w:cs="Times New Roman"/>
                <w:spacing w:val="9"/>
                <w:sz w:val="21"/>
                <w:szCs w:val="21"/>
              </w:rPr>
              <w:t xml:space="preserve"> 类用户为单相供电的计费用户。</w:t>
            </w:r>
          </w:p>
          <w:p w14:paraId="77C80D04">
            <w:pPr>
              <w:spacing w:before="116"/>
              <w:ind w:left="114"/>
              <w:rPr>
                <w:rFonts w:ascii="Times New Roman" w:hAnsi="Times New Roman" w:cs="Times New Roman"/>
                <w:sz w:val="21"/>
                <w:szCs w:val="21"/>
              </w:rPr>
            </w:pPr>
            <w:r>
              <w:rPr>
                <w:rFonts w:ascii="Times New Roman" w:hAnsi="Times New Roman" w:eastAsia="仿宋" w:cs="Times New Roman"/>
                <w:spacing w:val="18"/>
                <w:sz w:val="21"/>
                <w:szCs w:val="21"/>
              </w:rPr>
              <w:t>2</w:t>
            </w:r>
            <w:r>
              <w:rPr>
                <w:rFonts w:ascii="Times New Roman" w:hAnsi="Times New Roman" w:eastAsia="仿宋" w:cs="Times New Roman"/>
                <w:spacing w:val="17"/>
                <w:sz w:val="21"/>
                <w:szCs w:val="21"/>
              </w:rPr>
              <w:t>.</w:t>
            </w:r>
            <w:r>
              <w:rPr>
                <w:rFonts w:ascii="Times New Roman" w:hAnsi="Times New Roman" w:eastAsia="仿宋" w:cs="Times New Roman"/>
                <w:spacing w:val="9"/>
                <w:sz w:val="21"/>
                <w:szCs w:val="21"/>
              </w:rPr>
              <w:t>企业可按照实际情况选择计量排放因子的相应准确度等级计量器具，器具类别不限于表中所示。</w:t>
            </w:r>
          </w:p>
        </w:tc>
      </w:tr>
    </w:tbl>
    <w:p w14:paraId="11A13410">
      <w:pPr>
        <w:pStyle w:val="5"/>
        <w:rPr>
          <w:sz w:val="20"/>
          <w:lang w:eastAsia="zh-CN"/>
        </w:rPr>
      </w:pPr>
    </w:p>
    <w:p w14:paraId="38FC742C">
      <w:pPr>
        <w:pStyle w:val="14"/>
        <w:numPr>
          <w:ilvl w:val="0"/>
          <w:numId w:val="1"/>
        </w:numPr>
        <w:tabs>
          <w:tab w:val="left" w:pos="580"/>
          <w:tab w:val="left" w:pos="581"/>
        </w:tabs>
        <w:spacing w:before="74"/>
        <w:ind w:hanging="361"/>
        <w:rPr>
          <w:rFonts w:ascii="黑体" w:eastAsia="黑体"/>
          <w:sz w:val="24"/>
        </w:rPr>
      </w:pPr>
      <w:r>
        <w:rPr>
          <w:rFonts w:hint="eastAsia" w:ascii="黑体" w:eastAsia="黑体"/>
          <w:sz w:val="24"/>
        </w:rPr>
        <w:t>碳排放计量器具的管理要求</w:t>
      </w:r>
    </w:p>
    <w:p w14:paraId="40D2FE99">
      <w:pPr>
        <w:numPr>
          <w:ilvl w:val="0"/>
          <w:numId w:val="2"/>
        </w:numPr>
        <w:spacing w:before="183" w:line="227" w:lineRule="auto"/>
        <w:outlineLvl w:val="0"/>
        <w:rPr>
          <w:sz w:val="24"/>
          <w:szCs w:val="24"/>
        </w:rPr>
      </w:pPr>
      <w:bookmarkStart w:id="16" w:name="_bookmark12"/>
      <w:bookmarkEnd w:id="16"/>
      <w:r>
        <w:rPr>
          <w:spacing w:val="2"/>
          <w:sz w:val="24"/>
          <w:szCs w:val="24"/>
        </w:rPr>
        <w:t>碳排放计量管理制度</w:t>
      </w:r>
    </w:p>
    <w:p w14:paraId="210460A0">
      <w:pPr>
        <w:spacing w:before="160" w:line="360" w:lineRule="auto"/>
        <w:ind w:firstLine="500" w:firstLineChars="200"/>
        <w:rPr>
          <w:rFonts w:ascii="Times New Roman" w:hAnsi="Times New Roman" w:cs="Times New Roman"/>
          <w:spacing w:val="5"/>
          <w:sz w:val="24"/>
          <w:szCs w:val="24"/>
        </w:rPr>
      </w:pPr>
      <w:r>
        <w:rPr>
          <w:rFonts w:hint="eastAsia" w:ascii="Times New Roman" w:hAnsi="Times New Roman" w:cs="Times New Roman"/>
          <w:spacing w:val="5"/>
          <w:sz w:val="24"/>
          <w:szCs w:val="24"/>
          <w:lang w:eastAsia="zh-CN"/>
        </w:rPr>
        <w:t xml:space="preserve">6.1.1 </w:t>
      </w:r>
      <w:r>
        <w:rPr>
          <w:rFonts w:ascii="Times New Roman" w:hAnsi="Times New Roman" w:cs="Times New Roman"/>
          <w:spacing w:val="5"/>
          <w:sz w:val="24"/>
          <w:szCs w:val="24"/>
        </w:rPr>
        <w:t>企业应建立碳排放计量管理规章制度，明确碳排放计量的边界及范围，形成文件， 并保持和持续改进其有效性。</w:t>
      </w:r>
    </w:p>
    <w:p w14:paraId="4ACD691A">
      <w:pPr>
        <w:spacing w:before="160" w:line="360" w:lineRule="auto"/>
        <w:ind w:firstLine="500" w:firstLineChars="200"/>
        <w:rPr>
          <w:rFonts w:ascii="Times New Roman" w:hAnsi="Times New Roman" w:cs="Times New Roman"/>
          <w:spacing w:val="5"/>
          <w:sz w:val="24"/>
          <w:szCs w:val="24"/>
        </w:rPr>
      </w:pPr>
      <w:r>
        <w:rPr>
          <w:rFonts w:hint="eastAsia" w:ascii="Times New Roman" w:hAnsi="Times New Roman" w:cs="Times New Roman"/>
          <w:spacing w:val="5"/>
          <w:sz w:val="24"/>
          <w:szCs w:val="24"/>
          <w:lang w:eastAsia="zh-CN"/>
        </w:rPr>
        <w:t xml:space="preserve">6.1.2 </w:t>
      </w:r>
      <w:r>
        <w:rPr>
          <w:rFonts w:ascii="Times New Roman" w:hAnsi="Times New Roman" w:cs="Times New Roman"/>
          <w:spacing w:val="5"/>
          <w:sz w:val="24"/>
          <w:szCs w:val="24"/>
        </w:rPr>
        <w:t>企业应建立、保持和使用文件化的程序来规范碳排放计量人员行为、计量器具配 备管理和数据的采集、处理和汇总。</w:t>
      </w:r>
    </w:p>
    <w:p w14:paraId="3ED205E5">
      <w:pPr>
        <w:spacing w:before="160" w:line="360" w:lineRule="auto"/>
        <w:ind w:firstLine="500" w:firstLineChars="200"/>
        <w:rPr>
          <w:rFonts w:ascii="Times New Roman" w:hAnsi="Times New Roman" w:cs="Times New Roman"/>
          <w:spacing w:val="5"/>
          <w:sz w:val="24"/>
          <w:szCs w:val="24"/>
        </w:rPr>
      </w:pPr>
      <w:r>
        <w:rPr>
          <w:rFonts w:hint="eastAsia" w:ascii="Times New Roman" w:hAnsi="Times New Roman" w:cs="Times New Roman"/>
          <w:spacing w:val="5"/>
          <w:sz w:val="24"/>
          <w:szCs w:val="24"/>
          <w:lang w:eastAsia="zh-CN"/>
        </w:rPr>
        <w:t xml:space="preserve">6.1.3 </w:t>
      </w:r>
      <w:r>
        <w:rPr>
          <w:rFonts w:ascii="Times New Roman" w:hAnsi="Times New Roman" w:cs="Times New Roman"/>
          <w:spacing w:val="5"/>
          <w:sz w:val="24"/>
          <w:szCs w:val="24"/>
        </w:rPr>
        <w:t>企业应建立碳源流排放源一览表，对活动数据和排放因子的数据获取提出明确要 求，对需要配备计量器具的，应配备相应计量器具。</w:t>
      </w:r>
    </w:p>
    <w:p w14:paraId="13960BB4">
      <w:pPr>
        <w:numPr>
          <w:ilvl w:val="0"/>
          <w:numId w:val="3"/>
        </w:numPr>
        <w:spacing w:before="183" w:line="228" w:lineRule="auto"/>
        <w:outlineLvl w:val="0"/>
        <w:rPr>
          <w:sz w:val="24"/>
          <w:szCs w:val="24"/>
        </w:rPr>
      </w:pPr>
      <w:bookmarkStart w:id="17" w:name="_bookmark13"/>
      <w:bookmarkEnd w:id="17"/>
      <w:r>
        <w:rPr>
          <w:spacing w:val="6"/>
          <w:sz w:val="24"/>
          <w:szCs w:val="24"/>
        </w:rPr>
        <w:t>碳排放计量人员</w:t>
      </w:r>
    </w:p>
    <w:p w14:paraId="541D5A93">
      <w:pPr>
        <w:spacing w:before="160" w:line="360" w:lineRule="auto"/>
        <w:ind w:firstLine="500" w:firstLineChars="200"/>
        <w:rPr>
          <w:rFonts w:ascii="Times New Roman" w:hAnsi="Times New Roman" w:cs="Times New Roman"/>
          <w:spacing w:val="5"/>
          <w:sz w:val="24"/>
          <w:szCs w:val="24"/>
        </w:rPr>
      </w:pPr>
      <w:r>
        <w:rPr>
          <w:rFonts w:hint="eastAsia" w:ascii="Times New Roman" w:hAnsi="Times New Roman" w:cs="Times New Roman"/>
          <w:spacing w:val="5"/>
          <w:sz w:val="24"/>
          <w:szCs w:val="24"/>
          <w:lang w:eastAsia="zh-CN"/>
        </w:rPr>
        <w:t xml:space="preserve">6.2.1 </w:t>
      </w:r>
      <w:r>
        <w:rPr>
          <w:rFonts w:ascii="Times New Roman" w:hAnsi="Times New Roman" w:cs="Times New Roman"/>
          <w:spacing w:val="5"/>
          <w:sz w:val="24"/>
          <w:szCs w:val="24"/>
        </w:rPr>
        <w:t>企业应设专人负责碳排放计量器具的管理，负责碳排放计量器具的配备、使用、 检定 (校准) 、</w:t>
      </w:r>
      <w:r>
        <w:rPr>
          <w:rFonts w:hint="eastAsia" w:ascii="Times New Roman" w:hAnsi="Times New Roman" w:cs="Times New Roman"/>
          <w:spacing w:val="5"/>
          <w:sz w:val="24"/>
          <w:szCs w:val="24"/>
          <w:lang w:eastAsia="zh-CN"/>
        </w:rPr>
        <w:t>维护</w:t>
      </w:r>
      <w:r>
        <w:rPr>
          <w:rFonts w:ascii="Times New Roman" w:hAnsi="Times New Roman" w:cs="Times New Roman"/>
          <w:spacing w:val="5"/>
          <w:sz w:val="24"/>
          <w:szCs w:val="24"/>
        </w:rPr>
        <w:t>、报废等管理工作。</w:t>
      </w:r>
    </w:p>
    <w:p w14:paraId="339A3B93">
      <w:pPr>
        <w:spacing w:before="160" w:line="360" w:lineRule="auto"/>
        <w:ind w:firstLine="500" w:firstLineChars="200"/>
        <w:rPr>
          <w:rFonts w:ascii="Times New Roman" w:hAnsi="Times New Roman" w:cs="Times New Roman"/>
          <w:spacing w:val="5"/>
          <w:sz w:val="24"/>
          <w:szCs w:val="24"/>
        </w:rPr>
      </w:pPr>
      <w:r>
        <w:rPr>
          <w:rFonts w:ascii="Times New Roman" w:hAnsi="Times New Roman" w:cs="Times New Roman"/>
          <w:spacing w:val="5"/>
          <w:sz w:val="24"/>
          <w:szCs w:val="24"/>
        </w:rPr>
        <w:t>6.2.2 碳排放</w:t>
      </w:r>
      <w:r>
        <w:rPr>
          <w:rFonts w:hint="eastAsia" w:ascii="Times New Roman" w:hAnsi="Times New Roman" w:cs="Times New Roman"/>
          <w:spacing w:val="5"/>
          <w:sz w:val="24"/>
          <w:szCs w:val="24"/>
          <w:lang w:eastAsia="zh-CN"/>
        </w:rPr>
        <w:t>计量</w:t>
      </w:r>
      <w:r>
        <w:rPr>
          <w:rFonts w:ascii="Times New Roman" w:hAnsi="Times New Roman" w:cs="Times New Roman"/>
          <w:spacing w:val="5"/>
          <w:sz w:val="24"/>
          <w:szCs w:val="24"/>
        </w:rPr>
        <w:t>管理人员应通过</w:t>
      </w:r>
      <w:r>
        <w:rPr>
          <w:rFonts w:hint="eastAsia" w:ascii="Times New Roman" w:hAnsi="Times New Roman" w:cs="Times New Roman"/>
          <w:spacing w:val="5"/>
          <w:sz w:val="24"/>
          <w:szCs w:val="24"/>
          <w:lang w:eastAsia="zh-CN"/>
        </w:rPr>
        <w:t>计量相关知识的</w:t>
      </w:r>
      <w:r>
        <w:rPr>
          <w:rFonts w:ascii="Times New Roman" w:hAnsi="Times New Roman" w:cs="Times New Roman"/>
          <w:spacing w:val="5"/>
          <w:sz w:val="24"/>
          <w:szCs w:val="24"/>
        </w:rPr>
        <w:t>培训考核，持证上岗；其应建立和保存管理人员的技 术档案。</w:t>
      </w:r>
    </w:p>
    <w:p w14:paraId="2C8ED0AE">
      <w:pPr>
        <w:spacing w:before="160" w:line="360" w:lineRule="auto"/>
        <w:ind w:firstLine="500" w:firstLineChars="200"/>
        <w:rPr>
          <w:rFonts w:ascii="Times New Roman" w:hAnsi="Times New Roman" w:cs="Times New Roman"/>
          <w:spacing w:val="5"/>
          <w:sz w:val="24"/>
          <w:szCs w:val="24"/>
        </w:rPr>
      </w:pPr>
      <w:r>
        <w:rPr>
          <w:rFonts w:ascii="Times New Roman" w:hAnsi="Times New Roman" w:cs="Times New Roman"/>
          <w:spacing w:val="5"/>
          <w:sz w:val="24"/>
          <w:szCs w:val="24"/>
        </w:rPr>
        <w:t>6.2.3</w:t>
      </w:r>
      <w:r>
        <w:rPr>
          <w:rFonts w:hint="eastAsia" w:ascii="Times New Roman" w:hAnsi="Times New Roman" w:cs="Times New Roman"/>
          <w:spacing w:val="5"/>
          <w:sz w:val="24"/>
          <w:szCs w:val="24"/>
          <w:lang w:eastAsia="zh-CN"/>
        </w:rPr>
        <w:t xml:space="preserve"> </w:t>
      </w:r>
      <w:r>
        <w:rPr>
          <w:rFonts w:ascii="Times New Roman" w:hAnsi="Times New Roman" w:cs="Times New Roman"/>
          <w:spacing w:val="5"/>
          <w:sz w:val="24"/>
          <w:szCs w:val="24"/>
        </w:rPr>
        <w:t>碳排放计量器具检定、校准和维修人员，应具有相应的资质。</w:t>
      </w:r>
    </w:p>
    <w:p w14:paraId="28719095">
      <w:pPr>
        <w:numPr>
          <w:ilvl w:val="0"/>
          <w:numId w:val="4"/>
        </w:numPr>
        <w:spacing w:before="188" w:line="225" w:lineRule="auto"/>
        <w:outlineLvl w:val="0"/>
        <w:rPr>
          <w:sz w:val="24"/>
          <w:szCs w:val="24"/>
        </w:rPr>
      </w:pPr>
      <w:bookmarkStart w:id="18" w:name="_bookmark14"/>
      <w:bookmarkEnd w:id="18"/>
      <w:r>
        <w:rPr>
          <w:spacing w:val="6"/>
          <w:sz w:val="24"/>
          <w:szCs w:val="24"/>
        </w:rPr>
        <w:t>碳排放计量器具</w:t>
      </w:r>
    </w:p>
    <w:p w14:paraId="5F161CBB">
      <w:pPr>
        <w:spacing w:before="160" w:line="360" w:lineRule="auto"/>
        <w:ind w:firstLine="500" w:firstLineChars="200"/>
        <w:rPr>
          <w:rFonts w:ascii="Times New Roman" w:hAnsi="Times New Roman" w:cs="Times New Roman"/>
          <w:spacing w:val="5"/>
          <w:sz w:val="24"/>
          <w:szCs w:val="24"/>
        </w:rPr>
      </w:pPr>
      <w:r>
        <w:rPr>
          <w:rFonts w:hint="eastAsia" w:ascii="Times New Roman" w:hAnsi="Times New Roman" w:cs="Times New Roman"/>
          <w:spacing w:val="5"/>
          <w:sz w:val="24"/>
          <w:szCs w:val="24"/>
          <w:lang w:eastAsia="zh-CN"/>
        </w:rPr>
        <w:t xml:space="preserve">6.3.1 </w:t>
      </w:r>
      <w:r>
        <w:rPr>
          <w:rFonts w:ascii="Times New Roman" w:hAnsi="Times New Roman" w:cs="Times New Roman"/>
          <w:spacing w:val="5"/>
          <w:sz w:val="24"/>
          <w:szCs w:val="24"/>
        </w:rPr>
        <w:t>企业应备有完整的碳排放直接测量计量器具和碳排放量燃料端核算计量器具一览表。表中应列出计量器具的名称、型号规格、准确度等级、测量范围、生产厂家、出厂编号、单位管理编号、安装使用地点、状态 (指合格、准用、停用等) 以及检定</w:t>
      </w:r>
      <w:r>
        <w:rPr>
          <w:rFonts w:hint="eastAsia" w:ascii="Times New Roman" w:hAnsi="Times New Roman" w:cs="Times New Roman"/>
          <w:spacing w:val="5"/>
          <w:sz w:val="24"/>
          <w:szCs w:val="24"/>
          <w:lang w:eastAsia="zh-CN"/>
        </w:rPr>
        <w:t>/</w:t>
      </w:r>
      <w:r>
        <w:rPr>
          <w:rFonts w:ascii="Times New Roman" w:hAnsi="Times New Roman" w:cs="Times New Roman"/>
          <w:spacing w:val="5"/>
          <w:sz w:val="24"/>
          <w:szCs w:val="24"/>
        </w:rPr>
        <w:t>校准周期等信息。</w:t>
      </w:r>
    </w:p>
    <w:p w14:paraId="043838E3">
      <w:pPr>
        <w:spacing w:before="160" w:line="360" w:lineRule="auto"/>
        <w:ind w:firstLine="500" w:firstLineChars="200"/>
        <w:rPr>
          <w:rFonts w:ascii="Times New Roman" w:hAnsi="Times New Roman" w:cs="Times New Roman"/>
          <w:spacing w:val="5"/>
          <w:sz w:val="24"/>
          <w:szCs w:val="24"/>
        </w:rPr>
      </w:pPr>
      <w:r>
        <w:rPr>
          <w:rFonts w:ascii="Times New Roman" w:hAnsi="Times New Roman" w:cs="Times New Roman"/>
          <w:spacing w:val="5"/>
          <w:sz w:val="24"/>
          <w:szCs w:val="24"/>
        </w:rPr>
        <w:t>6.3.2 企业应建立碳排放计量器具档案</w:t>
      </w:r>
      <w:r>
        <w:rPr>
          <w:rFonts w:hint="eastAsia" w:ascii="Times New Roman" w:hAnsi="Times New Roman" w:cs="Times New Roman"/>
          <w:spacing w:val="5"/>
          <w:sz w:val="24"/>
          <w:szCs w:val="24"/>
          <w:lang w:eastAsia="zh-CN"/>
        </w:rPr>
        <w:t>，</w:t>
      </w:r>
      <w:r>
        <w:rPr>
          <w:rFonts w:ascii="Times New Roman" w:hAnsi="Times New Roman" w:cs="Times New Roman"/>
          <w:spacing w:val="5"/>
          <w:sz w:val="24"/>
          <w:szCs w:val="24"/>
        </w:rPr>
        <w:t>内容包括：</w:t>
      </w:r>
    </w:p>
    <w:p w14:paraId="0654D242">
      <w:pPr>
        <w:spacing w:before="160" w:line="360" w:lineRule="auto"/>
        <w:ind w:firstLine="500" w:firstLineChars="200"/>
        <w:rPr>
          <w:rFonts w:ascii="Times New Roman" w:hAnsi="Times New Roman" w:cs="Times New Roman"/>
          <w:spacing w:val="5"/>
          <w:sz w:val="24"/>
          <w:szCs w:val="24"/>
        </w:rPr>
      </w:pPr>
      <w:r>
        <w:rPr>
          <w:rFonts w:ascii="Times New Roman" w:hAnsi="Times New Roman" w:cs="Times New Roman"/>
          <w:spacing w:val="5"/>
          <w:sz w:val="24"/>
          <w:szCs w:val="24"/>
        </w:rPr>
        <w:t>a)</w:t>
      </w:r>
      <w:r>
        <w:rPr>
          <w:rFonts w:hint="eastAsia" w:ascii="Times New Roman" w:hAnsi="Times New Roman" w:cs="Times New Roman"/>
          <w:spacing w:val="5"/>
          <w:sz w:val="24"/>
          <w:szCs w:val="24"/>
          <w:lang w:eastAsia="zh-CN"/>
        </w:rPr>
        <w:t xml:space="preserve"> </w:t>
      </w:r>
      <w:r>
        <w:rPr>
          <w:rFonts w:ascii="Times New Roman" w:hAnsi="Times New Roman" w:cs="Times New Roman"/>
          <w:spacing w:val="5"/>
          <w:sz w:val="24"/>
          <w:szCs w:val="24"/>
        </w:rPr>
        <w:t>计量器具使用说明书；</w:t>
      </w:r>
    </w:p>
    <w:p w14:paraId="37C3520E">
      <w:pPr>
        <w:spacing w:before="160" w:line="360" w:lineRule="auto"/>
        <w:ind w:firstLine="500" w:firstLineChars="200"/>
        <w:rPr>
          <w:rFonts w:ascii="Times New Roman" w:hAnsi="Times New Roman" w:cs="Times New Roman"/>
          <w:spacing w:val="5"/>
          <w:sz w:val="24"/>
          <w:szCs w:val="24"/>
        </w:rPr>
      </w:pPr>
      <w:r>
        <w:rPr>
          <w:rFonts w:ascii="Times New Roman" w:hAnsi="Times New Roman" w:cs="Times New Roman"/>
          <w:spacing w:val="5"/>
          <w:sz w:val="24"/>
          <w:szCs w:val="24"/>
        </w:rPr>
        <w:t>b)</w:t>
      </w:r>
      <w:r>
        <w:rPr>
          <w:rFonts w:hint="eastAsia" w:ascii="Times New Roman" w:hAnsi="Times New Roman" w:cs="Times New Roman"/>
          <w:spacing w:val="5"/>
          <w:sz w:val="24"/>
          <w:szCs w:val="24"/>
          <w:lang w:eastAsia="zh-CN"/>
        </w:rPr>
        <w:t xml:space="preserve"> </w:t>
      </w:r>
      <w:r>
        <w:rPr>
          <w:rFonts w:ascii="Times New Roman" w:hAnsi="Times New Roman" w:cs="Times New Roman"/>
          <w:spacing w:val="5"/>
          <w:sz w:val="24"/>
          <w:szCs w:val="24"/>
        </w:rPr>
        <w:t>计量器具出厂合格证；</w:t>
      </w:r>
    </w:p>
    <w:p w14:paraId="0CDDAFED">
      <w:pPr>
        <w:spacing w:before="160" w:line="360" w:lineRule="auto"/>
        <w:ind w:firstLine="500" w:firstLineChars="200"/>
        <w:rPr>
          <w:rFonts w:ascii="Times New Roman" w:hAnsi="Times New Roman" w:cs="Times New Roman"/>
          <w:spacing w:val="5"/>
          <w:sz w:val="24"/>
          <w:szCs w:val="24"/>
        </w:rPr>
      </w:pPr>
      <w:r>
        <w:rPr>
          <w:rFonts w:ascii="Times New Roman" w:hAnsi="Times New Roman" w:cs="Times New Roman"/>
          <w:spacing w:val="5"/>
          <w:sz w:val="24"/>
          <w:szCs w:val="24"/>
        </w:rPr>
        <w:t>c)</w:t>
      </w:r>
      <w:r>
        <w:rPr>
          <w:rFonts w:hint="eastAsia" w:ascii="Times New Roman" w:hAnsi="Times New Roman" w:cs="Times New Roman"/>
          <w:spacing w:val="5"/>
          <w:sz w:val="24"/>
          <w:szCs w:val="24"/>
          <w:lang w:eastAsia="zh-CN"/>
        </w:rPr>
        <w:t xml:space="preserve"> </w:t>
      </w:r>
      <w:r>
        <w:rPr>
          <w:rFonts w:ascii="Times New Roman" w:hAnsi="Times New Roman" w:cs="Times New Roman"/>
          <w:spacing w:val="5"/>
          <w:sz w:val="24"/>
          <w:szCs w:val="24"/>
        </w:rPr>
        <w:t>计量器具最近两个连续周期的检定 (测试、校准) 证书；</w:t>
      </w:r>
    </w:p>
    <w:p w14:paraId="2DAF61DC">
      <w:pPr>
        <w:spacing w:before="160" w:line="360" w:lineRule="auto"/>
        <w:ind w:firstLine="500" w:firstLineChars="200"/>
        <w:rPr>
          <w:rFonts w:ascii="Times New Roman" w:hAnsi="Times New Roman" w:cs="Times New Roman"/>
          <w:spacing w:val="5"/>
          <w:sz w:val="24"/>
          <w:szCs w:val="24"/>
        </w:rPr>
      </w:pPr>
      <w:r>
        <w:rPr>
          <w:rFonts w:ascii="Times New Roman" w:hAnsi="Times New Roman" w:cs="Times New Roman"/>
          <w:spacing w:val="5"/>
          <w:sz w:val="24"/>
          <w:szCs w:val="24"/>
        </w:rPr>
        <w:t>d)</w:t>
      </w:r>
      <w:r>
        <w:rPr>
          <w:rFonts w:hint="eastAsia" w:ascii="Times New Roman" w:hAnsi="Times New Roman" w:cs="Times New Roman"/>
          <w:spacing w:val="5"/>
          <w:sz w:val="24"/>
          <w:szCs w:val="24"/>
          <w:lang w:eastAsia="zh-CN"/>
        </w:rPr>
        <w:t xml:space="preserve"> </w:t>
      </w:r>
      <w:r>
        <w:rPr>
          <w:rFonts w:ascii="Times New Roman" w:hAnsi="Times New Roman" w:cs="Times New Roman"/>
          <w:spacing w:val="5"/>
          <w:sz w:val="24"/>
          <w:szCs w:val="24"/>
        </w:rPr>
        <w:t>计量器具维修记录；</w:t>
      </w:r>
    </w:p>
    <w:p w14:paraId="064BEB1B">
      <w:pPr>
        <w:spacing w:before="160" w:line="360" w:lineRule="auto"/>
        <w:ind w:firstLine="500" w:firstLineChars="200"/>
        <w:rPr>
          <w:rFonts w:ascii="Times New Roman" w:hAnsi="Times New Roman" w:cs="Times New Roman"/>
          <w:spacing w:val="5"/>
          <w:sz w:val="24"/>
          <w:szCs w:val="24"/>
          <w:lang w:eastAsia="zh-CN"/>
        </w:rPr>
      </w:pPr>
      <w:r>
        <w:rPr>
          <w:rFonts w:ascii="Times New Roman" w:hAnsi="Times New Roman" w:cs="Times New Roman"/>
          <w:spacing w:val="5"/>
          <w:sz w:val="24"/>
          <w:szCs w:val="24"/>
        </w:rPr>
        <w:t>e)</w:t>
      </w:r>
      <w:r>
        <w:rPr>
          <w:rFonts w:hint="eastAsia" w:ascii="Times New Roman" w:hAnsi="Times New Roman" w:cs="Times New Roman"/>
          <w:spacing w:val="5"/>
          <w:sz w:val="24"/>
          <w:szCs w:val="24"/>
          <w:lang w:eastAsia="zh-CN"/>
        </w:rPr>
        <w:t xml:space="preserve"> </w:t>
      </w:r>
      <w:r>
        <w:rPr>
          <w:rFonts w:ascii="Times New Roman" w:hAnsi="Times New Roman" w:cs="Times New Roman"/>
          <w:spacing w:val="5"/>
          <w:sz w:val="24"/>
          <w:szCs w:val="24"/>
        </w:rPr>
        <w:t>计量器具其他相关信息</w:t>
      </w:r>
      <w:r>
        <w:rPr>
          <w:rFonts w:ascii="Times New Roman" w:hAnsi="Times New Roman" w:cs="Times New Roman"/>
          <w:spacing w:val="5"/>
          <w:sz w:val="24"/>
          <w:szCs w:val="24"/>
          <w:lang w:eastAsia="zh-CN"/>
        </w:rPr>
        <w:t>。</w:t>
      </w:r>
    </w:p>
    <w:p w14:paraId="563A4BA1">
      <w:pPr>
        <w:spacing w:before="160" w:line="360" w:lineRule="auto"/>
        <w:ind w:firstLine="500" w:firstLineChars="200"/>
        <w:rPr>
          <w:rFonts w:ascii="Times New Roman" w:hAnsi="Times New Roman" w:cs="Times New Roman"/>
          <w:spacing w:val="5"/>
          <w:sz w:val="24"/>
          <w:szCs w:val="24"/>
        </w:rPr>
      </w:pPr>
      <w:r>
        <w:rPr>
          <w:rFonts w:ascii="Times New Roman" w:hAnsi="Times New Roman" w:cs="Times New Roman"/>
          <w:spacing w:val="5"/>
          <w:sz w:val="24"/>
          <w:szCs w:val="24"/>
        </w:rPr>
        <w:t>6.3.3 企业配备的碳排放计量器具准确度等级应满足本技术规范的要求。</w:t>
      </w:r>
    </w:p>
    <w:p w14:paraId="52DB1C11">
      <w:pPr>
        <w:spacing w:before="160" w:line="360" w:lineRule="auto"/>
        <w:ind w:firstLine="500" w:firstLineChars="200"/>
        <w:rPr>
          <w:rFonts w:ascii="Times New Roman" w:hAnsi="Times New Roman" w:cs="Times New Roman"/>
          <w:spacing w:val="5"/>
          <w:sz w:val="24"/>
          <w:szCs w:val="24"/>
        </w:rPr>
      </w:pPr>
      <w:r>
        <w:rPr>
          <w:rFonts w:ascii="Times New Roman" w:hAnsi="Times New Roman" w:cs="Times New Roman"/>
          <w:spacing w:val="5"/>
          <w:sz w:val="24"/>
          <w:szCs w:val="24"/>
        </w:rPr>
        <w:t>6.3.4 凡属自行校准且自行确定校准间隔的，应有现行有效的受控文件 (即自校计量器 具的管理程序) 作为依据。</w:t>
      </w:r>
    </w:p>
    <w:p w14:paraId="68684E94">
      <w:pPr>
        <w:spacing w:before="160" w:line="360" w:lineRule="auto"/>
        <w:ind w:firstLine="500" w:firstLineChars="200"/>
        <w:rPr>
          <w:rFonts w:ascii="Times New Roman" w:hAnsi="Times New Roman" w:cs="Times New Roman"/>
          <w:spacing w:val="5"/>
          <w:sz w:val="24"/>
          <w:szCs w:val="24"/>
        </w:rPr>
      </w:pPr>
      <w:r>
        <w:rPr>
          <w:rFonts w:ascii="Times New Roman" w:hAnsi="Times New Roman" w:cs="Times New Roman"/>
          <w:spacing w:val="5"/>
          <w:sz w:val="24"/>
          <w:szCs w:val="24"/>
        </w:rPr>
        <w:t>6.3.5 碳排放计量器具应实行定期检定 (校准)</w:t>
      </w:r>
      <w:r>
        <w:rPr>
          <w:rFonts w:hint="eastAsia" w:ascii="Times New Roman" w:hAnsi="Times New Roman" w:cs="Times New Roman"/>
          <w:spacing w:val="5"/>
          <w:sz w:val="24"/>
          <w:szCs w:val="24"/>
          <w:lang w:eastAsia="zh-CN"/>
        </w:rPr>
        <w:t>。</w:t>
      </w:r>
      <w:r>
        <w:rPr>
          <w:rFonts w:ascii="Times New Roman" w:hAnsi="Times New Roman" w:cs="Times New Roman"/>
          <w:spacing w:val="5"/>
          <w:sz w:val="24"/>
          <w:szCs w:val="24"/>
        </w:rPr>
        <w:t>凡经检定 (校准) 不符合要求的或超 过检定周期的计量器具一律不准使用。属强制检定的计量器具，其检定周期、检定方式 应遵守有关计量技术法规的规定。</w:t>
      </w:r>
    </w:p>
    <w:p w14:paraId="27EC3518">
      <w:pPr>
        <w:spacing w:before="160" w:line="360" w:lineRule="auto"/>
        <w:ind w:firstLine="500" w:firstLineChars="200"/>
        <w:rPr>
          <w:rFonts w:ascii="Times New Roman" w:hAnsi="Times New Roman" w:cs="Times New Roman"/>
          <w:spacing w:val="5"/>
          <w:sz w:val="24"/>
          <w:szCs w:val="24"/>
        </w:rPr>
      </w:pPr>
      <w:r>
        <w:rPr>
          <w:rFonts w:ascii="Times New Roman" w:hAnsi="Times New Roman" w:cs="Times New Roman"/>
          <w:spacing w:val="5"/>
          <w:sz w:val="24"/>
          <w:szCs w:val="24"/>
        </w:rPr>
        <w:t>6.3.6</w:t>
      </w:r>
      <w:r>
        <w:rPr>
          <w:rFonts w:hint="eastAsia" w:ascii="Times New Roman" w:hAnsi="Times New Roman" w:cs="Times New Roman"/>
          <w:spacing w:val="5"/>
          <w:sz w:val="24"/>
          <w:szCs w:val="24"/>
          <w:lang w:eastAsia="zh-CN"/>
        </w:rPr>
        <w:t xml:space="preserve"> </w:t>
      </w:r>
      <w:r>
        <w:rPr>
          <w:rFonts w:ascii="Times New Roman" w:hAnsi="Times New Roman" w:cs="Times New Roman"/>
          <w:spacing w:val="5"/>
          <w:sz w:val="24"/>
          <w:szCs w:val="24"/>
        </w:rPr>
        <w:t>在用的碳排放计量器具宜在明显位置粘贴与碳排放计量器具一览表对应的状态标识，以备查验和管理。</w:t>
      </w:r>
    </w:p>
    <w:p w14:paraId="32E4AB2B">
      <w:pPr>
        <w:numPr>
          <w:ilvl w:val="0"/>
          <w:numId w:val="5"/>
        </w:numPr>
        <w:spacing w:before="182" w:line="227" w:lineRule="auto"/>
        <w:outlineLvl w:val="0"/>
        <w:rPr>
          <w:sz w:val="24"/>
          <w:szCs w:val="24"/>
        </w:rPr>
      </w:pPr>
      <w:bookmarkStart w:id="19" w:name="_bookmark15"/>
      <w:bookmarkEnd w:id="19"/>
      <w:r>
        <w:rPr>
          <w:spacing w:val="6"/>
          <w:sz w:val="24"/>
          <w:szCs w:val="24"/>
        </w:rPr>
        <w:t>碳排放计量数据</w:t>
      </w:r>
    </w:p>
    <w:p w14:paraId="08F958E7">
      <w:pPr>
        <w:spacing w:before="160" w:line="360" w:lineRule="auto"/>
        <w:ind w:firstLine="500" w:firstLineChars="200"/>
        <w:rPr>
          <w:rFonts w:ascii="Times New Roman" w:hAnsi="Times New Roman" w:cs="Times New Roman"/>
          <w:spacing w:val="5"/>
          <w:sz w:val="24"/>
          <w:szCs w:val="24"/>
        </w:rPr>
      </w:pPr>
      <w:r>
        <w:rPr>
          <w:rFonts w:hint="eastAsia" w:ascii="Times New Roman" w:hAnsi="Times New Roman" w:cs="Times New Roman"/>
          <w:spacing w:val="5"/>
          <w:sz w:val="24"/>
          <w:szCs w:val="24"/>
          <w:lang w:eastAsia="zh-CN"/>
        </w:rPr>
        <w:t xml:space="preserve">6.4.1 </w:t>
      </w:r>
      <w:r>
        <w:rPr>
          <w:rFonts w:ascii="Times New Roman" w:hAnsi="Times New Roman" w:cs="Times New Roman"/>
          <w:spacing w:val="5"/>
          <w:sz w:val="24"/>
          <w:szCs w:val="24"/>
        </w:rPr>
        <w:t>企业应建立接入端系统，系统采集的数据应能追溯至计量器具的测量数据，且与计量器具测量结果一致。企业应加强在监测数据存储和传输上的管理，以确保数据在存储、传输过程中不被截取、篡改。</w:t>
      </w:r>
    </w:p>
    <w:p w14:paraId="6E5750D2">
      <w:pPr>
        <w:spacing w:before="160" w:line="360" w:lineRule="auto"/>
        <w:ind w:firstLine="500" w:firstLineChars="200"/>
        <w:rPr>
          <w:rFonts w:ascii="Times New Roman" w:hAnsi="Times New Roman" w:cs="Times New Roman"/>
          <w:spacing w:val="5"/>
          <w:sz w:val="24"/>
          <w:szCs w:val="24"/>
        </w:rPr>
      </w:pPr>
      <w:r>
        <w:rPr>
          <w:rFonts w:ascii="Times New Roman" w:hAnsi="Times New Roman" w:cs="Times New Roman"/>
          <w:spacing w:val="5"/>
          <w:sz w:val="24"/>
          <w:szCs w:val="24"/>
        </w:rPr>
        <w:t>6.4.2 碳排放计量数据记录应采用受控的表格式样，计量监测数据记录表格应便于数据的汇总与分析，应说明被测量与记录数据之间的转换方法或关系。</w:t>
      </w:r>
    </w:p>
    <w:p w14:paraId="56A60E5D">
      <w:pPr>
        <w:spacing w:before="160" w:line="360" w:lineRule="auto"/>
        <w:ind w:firstLine="500" w:firstLineChars="200"/>
        <w:rPr>
          <w:rFonts w:ascii="Times New Roman" w:hAnsi="Times New Roman" w:cs="Times New Roman"/>
          <w:spacing w:val="5"/>
          <w:sz w:val="24"/>
          <w:szCs w:val="24"/>
        </w:rPr>
      </w:pPr>
      <w:r>
        <w:rPr>
          <w:rFonts w:ascii="Times New Roman" w:hAnsi="Times New Roman" w:cs="Times New Roman"/>
          <w:spacing w:val="5"/>
          <w:sz w:val="24"/>
          <w:szCs w:val="24"/>
        </w:rPr>
        <w:t>6.4.3 所有碳排放计量监测数据应妥善保存，保存期限</w:t>
      </w:r>
      <w:r>
        <w:rPr>
          <w:rFonts w:hint="eastAsia" w:ascii="Times New Roman" w:hAnsi="Times New Roman" w:cs="Times New Roman"/>
          <w:spacing w:val="5"/>
          <w:sz w:val="24"/>
          <w:szCs w:val="24"/>
          <w:lang w:eastAsia="zh-CN"/>
        </w:rPr>
        <w:t>不低于</w:t>
      </w:r>
      <w:r>
        <w:rPr>
          <w:rFonts w:ascii="Times New Roman" w:hAnsi="Times New Roman" w:cs="Times New Roman"/>
          <w:spacing w:val="5"/>
          <w:sz w:val="24"/>
          <w:szCs w:val="24"/>
        </w:rPr>
        <w:t xml:space="preserve"> 6 年。</w:t>
      </w:r>
    </w:p>
    <w:p w14:paraId="12D0EAC7">
      <w:pPr>
        <w:pStyle w:val="5"/>
        <w:spacing w:before="8"/>
        <w:rPr>
          <w:rFonts w:ascii="楷体"/>
          <w:sz w:val="20"/>
          <w:lang w:eastAsia="zh-CN"/>
        </w:rPr>
      </w:pPr>
      <w:bookmarkStart w:id="20" w:name="_bookmark25"/>
      <w:bookmarkEnd w:id="20"/>
      <w:bookmarkStart w:id="21" w:name="附录A_"/>
      <w:bookmarkEnd w:id="21"/>
      <w:r>
        <w:rPr>
          <w:lang w:eastAsia="zh-CN" w:bidi="ar-SA"/>
        </w:rPr>
        <w:pict>
          <v:line id="直线 2" o:spid="_x0000_s2051" o:spt="20" style="position:absolute;left:0pt;margin-left:227.85pt;margin-top:9.95pt;height:0pt;width:171pt;mso-position-horizontal-relative:page;mso-wrap-distance-bottom:0pt;mso-wrap-distance-top:0pt;z-index:-251653120;mso-width-relative:page;mso-height-relative:page;" coordsize="21600,21600" o:gfxdata="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P4IrP1AAAAAkB&#10;AAAPAAAAAAAAAAEAIAAAACIAAABkcnMvZG93bnJldi54bWxQSwECFAAUAAAACACHTuJA2RskluYB&#10;AADfAwAADgAAAAAAAAABACAAAAAjAQAAZHJzL2Uyb0RvYy54bWxQSwUGAAAAAAYABgBZAQAAewUA&#10;AAAA&#10;">
            <v:path arrowok="t"/>
            <v:fill focussize="0,0"/>
            <v:stroke weight="1.05pt"/>
            <v:imagedata o:title=""/>
            <o:lock v:ext="edit"/>
            <w10:wrap type="topAndBottom"/>
          </v:line>
        </w:pict>
      </w:r>
    </w:p>
    <w:p w14:paraId="1E9E6B3B">
      <w:pPr>
        <w:pStyle w:val="5"/>
        <w:rPr>
          <w:rFonts w:ascii="楷体"/>
          <w:sz w:val="20"/>
          <w:lang w:eastAsia="zh-CN"/>
        </w:rPr>
      </w:pPr>
    </w:p>
    <w:p w14:paraId="7EA7702B">
      <w:pPr>
        <w:pStyle w:val="5"/>
        <w:rPr>
          <w:rFonts w:ascii="楷体"/>
          <w:sz w:val="20"/>
          <w:lang w:eastAsia="zh-CN"/>
        </w:rPr>
        <w:sectPr>
          <w:footerReference r:id="rId9" w:type="default"/>
          <w:pgSz w:w="11910" w:h="16840"/>
          <w:pgMar w:top="1780" w:right="918" w:bottom="278" w:left="1140" w:header="0" w:footer="680" w:gutter="0"/>
          <w:pgNumType w:start="1"/>
          <w:cols w:space="720" w:num="1"/>
        </w:sectPr>
      </w:pPr>
    </w:p>
    <w:p w14:paraId="415A742C">
      <w:pPr>
        <w:snapToGrid w:val="0"/>
        <w:spacing w:line="360" w:lineRule="auto"/>
      </w:pPr>
      <w:r>
        <w:pict>
          <v:shape id="文本框 2" o:spid="_x0000_s2050" o:spt="202" type="#_x0000_t202" style="position:absolute;left:0pt;margin-left:472.8pt;margin-top:12.7pt;height:161.55pt;width:39.8pt;z-index:251665408;mso-width-relative:page;mso-height-relative:page;" stroked="f" coordsize="21600,21600" o:gfxdata="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7ix4R2QAAAAsBAAAP&#10;AAAAAAAAAAEAIAAAACIAAABkcnMvZG93bnJldi54bWxQSwECFAAUAAAACACHTuJAPaBHid4BAACu&#10;AwAADgAAAAAAAAABACAAAAAoAQAAZHJzL2Uyb0RvYy54bWxQSwUGAAAAAAYABgBZAQAAeAUAAAAA&#10;">
            <v:path/>
            <v:fill focussize="0,0"/>
            <v:stroke on="f" joinstyle="miter"/>
            <v:imagedata o:title=""/>
            <o:lock v:ext="edit"/>
            <v:textbox style="layout-flow:vertical;mso-layout-flow-alt:bottom-to-top;">
              <w:txbxContent>
                <w:p w14:paraId="4B8EAA8E">
                  <w:pPr>
                    <w:rPr>
                      <w:rFonts w:ascii="黑体" w:hAnsi="黑体" w:eastAsia="黑体"/>
                      <w:sz w:val="28"/>
                      <w:szCs w:val="28"/>
                      <w:lang w:eastAsia="zh-CN"/>
                    </w:rPr>
                  </w:pPr>
                  <w:r>
                    <w:rPr>
                      <w:rFonts w:hint="eastAsia" w:ascii="黑体" w:hAnsi="黑体" w:eastAsia="黑体"/>
                      <w:sz w:val="28"/>
                      <w:szCs w:val="28"/>
                    </w:rPr>
                    <w:t>JJF(皖)xx-202</w:t>
                  </w:r>
                  <w:r>
                    <w:rPr>
                      <w:rFonts w:hint="eastAsia" w:ascii="黑体" w:hAnsi="黑体" w:eastAsia="黑体"/>
                      <w:sz w:val="28"/>
                      <w:szCs w:val="28"/>
                      <w:lang w:val="en-US" w:eastAsia="zh-CN"/>
                    </w:rPr>
                    <w:t>5</w:t>
                  </w:r>
                </w:p>
              </w:txbxContent>
            </v:textbox>
          </v:shape>
        </w:pict>
      </w:r>
    </w:p>
    <w:p w14:paraId="02F12440">
      <w:pPr>
        <w:snapToGrid w:val="0"/>
        <w:spacing w:line="360" w:lineRule="auto"/>
      </w:pPr>
    </w:p>
    <w:p w14:paraId="2953509C">
      <w:pPr>
        <w:snapToGrid w:val="0"/>
        <w:spacing w:line="360" w:lineRule="auto"/>
      </w:pPr>
    </w:p>
    <w:p w14:paraId="6D780517">
      <w:pPr>
        <w:pStyle w:val="18"/>
        <w:rPr>
          <w:rFonts w:ascii="Times New Roman" w:hAnsi="Times New Roman" w:cs="Times New Roman"/>
          <w:color w:val="auto"/>
          <w:sz w:val="32"/>
          <w:szCs w:val="28"/>
        </w:rPr>
      </w:pPr>
    </w:p>
    <w:p w14:paraId="2E3F2856">
      <w:pPr>
        <w:pStyle w:val="18"/>
        <w:rPr>
          <w:rFonts w:ascii="Times New Roman" w:hAnsi="Times New Roman" w:cs="Times New Roman"/>
          <w:color w:val="auto"/>
          <w:sz w:val="32"/>
          <w:szCs w:val="28"/>
        </w:rPr>
      </w:pPr>
    </w:p>
    <w:p w14:paraId="78AB1E22">
      <w:pPr>
        <w:pStyle w:val="18"/>
        <w:rPr>
          <w:rFonts w:ascii="Times New Roman" w:hAnsi="Times New Roman" w:cs="Times New Roman"/>
          <w:color w:val="auto"/>
          <w:sz w:val="32"/>
          <w:szCs w:val="28"/>
        </w:rPr>
      </w:pPr>
    </w:p>
    <w:p w14:paraId="384D4E2F">
      <w:pPr>
        <w:pStyle w:val="18"/>
        <w:rPr>
          <w:rFonts w:ascii="Times New Roman" w:hAnsi="Times New Roman" w:cs="Times New Roman"/>
          <w:color w:val="auto"/>
          <w:sz w:val="32"/>
          <w:szCs w:val="28"/>
        </w:rPr>
      </w:pPr>
    </w:p>
    <w:p w14:paraId="43F26CC9">
      <w:pPr>
        <w:pStyle w:val="18"/>
        <w:rPr>
          <w:rFonts w:ascii="Times New Roman" w:hAnsi="Times New Roman" w:cs="Times New Roman"/>
          <w:color w:val="auto"/>
          <w:sz w:val="32"/>
          <w:szCs w:val="28"/>
        </w:rPr>
      </w:pPr>
    </w:p>
    <w:p w14:paraId="3A5F522A">
      <w:pPr>
        <w:pStyle w:val="18"/>
        <w:rPr>
          <w:rFonts w:ascii="Times New Roman" w:hAnsi="Times New Roman" w:cs="Times New Roman"/>
          <w:color w:val="auto"/>
          <w:sz w:val="32"/>
          <w:szCs w:val="28"/>
        </w:rPr>
      </w:pPr>
    </w:p>
    <w:p w14:paraId="7167828E">
      <w:pPr>
        <w:pStyle w:val="18"/>
        <w:rPr>
          <w:rFonts w:ascii="Times New Roman" w:hAnsi="Times New Roman" w:cs="Times New Roman"/>
          <w:color w:val="auto"/>
          <w:sz w:val="32"/>
          <w:szCs w:val="28"/>
        </w:rPr>
      </w:pPr>
    </w:p>
    <w:p w14:paraId="22FE2538">
      <w:pPr>
        <w:pStyle w:val="18"/>
        <w:rPr>
          <w:rFonts w:ascii="Times New Roman" w:hAnsi="Times New Roman" w:cs="Times New Roman"/>
          <w:color w:val="auto"/>
          <w:sz w:val="32"/>
          <w:szCs w:val="28"/>
        </w:rPr>
      </w:pPr>
    </w:p>
    <w:p w14:paraId="79EA24E5">
      <w:pPr>
        <w:pStyle w:val="18"/>
        <w:rPr>
          <w:rFonts w:ascii="Times New Roman" w:hAnsi="Times New Roman" w:cs="Times New Roman"/>
          <w:color w:val="auto"/>
          <w:sz w:val="32"/>
          <w:szCs w:val="28"/>
        </w:rPr>
      </w:pPr>
    </w:p>
    <w:p w14:paraId="1912A092">
      <w:pPr>
        <w:pStyle w:val="18"/>
        <w:rPr>
          <w:rFonts w:ascii="Times New Roman" w:hAnsi="Times New Roman" w:cs="Times New Roman"/>
          <w:color w:val="auto"/>
          <w:sz w:val="32"/>
          <w:szCs w:val="28"/>
        </w:rPr>
      </w:pPr>
    </w:p>
    <w:p w14:paraId="35D9923B">
      <w:pPr>
        <w:widowControl/>
        <w:adjustRightInd w:val="0"/>
        <w:spacing w:line="480" w:lineRule="exact"/>
        <w:jc w:val="center"/>
        <w:rPr>
          <w:rFonts w:hAnsi="Times New Roman" w:cs="Times New Roman"/>
          <w:sz w:val="28"/>
          <w:szCs w:val="20"/>
        </w:rPr>
      </w:pPr>
    </w:p>
    <w:p w14:paraId="27342D78">
      <w:pPr>
        <w:widowControl/>
        <w:adjustRightInd w:val="0"/>
        <w:spacing w:line="480" w:lineRule="exact"/>
        <w:jc w:val="center"/>
        <w:rPr>
          <w:sz w:val="28"/>
          <w:szCs w:val="20"/>
        </w:rPr>
      </w:pPr>
    </w:p>
    <w:p w14:paraId="2A813C31">
      <w:pPr>
        <w:widowControl/>
        <w:adjustRightInd w:val="0"/>
        <w:spacing w:line="480" w:lineRule="exact"/>
        <w:jc w:val="center"/>
        <w:rPr>
          <w:sz w:val="28"/>
          <w:szCs w:val="20"/>
        </w:rPr>
      </w:pPr>
    </w:p>
    <w:p w14:paraId="0FB33ACF">
      <w:pPr>
        <w:widowControl/>
        <w:adjustRightInd w:val="0"/>
        <w:spacing w:line="480" w:lineRule="exact"/>
        <w:jc w:val="center"/>
        <w:rPr>
          <w:sz w:val="28"/>
          <w:szCs w:val="20"/>
        </w:rPr>
      </w:pPr>
    </w:p>
    <w:p w14:paraId="5A9E4187">
      <w:pPr>
        <w:widowControl/>
        <w:adjustRightInd w:val="0"/>
        <w:spacing w:line="480" w:lineRule="exact"/>
        <w:jc w:val="center"/>
        <w:rPr>
          <w:sz w:val="28"/>
          <w:szCs w:val="20"/>
        </w:rPr>
      </w:pPr>
    </w:p>
    <w:p w14:paraId="743F938E">
      <w:pPr>
        <w:widowControl/>
        <w:adjustRightInd w:val="0"/>
        <w:spacing w:line="480" w:lineRule="exact"/>
        <w:jc w:val="center"/>
        <w:rPr>
          <w:sz w:val="28"/>
          <w:szCs w:val="20"/>
        </w:rPr>
      </w:pPr>
    </w:p>
    <w:p w14:paraId="401C3AD2">
      <w:pPr>
        <w:widowControl/>
        <w:adjustRightInd w:val="0"/>
        <w:spacing w:line="480" w:lineRule="exact"/>
        <w:jc w:val="center"/>
        <w:rPr>
          <w:sz w:val="28"/>
          <w:szCs w:val="20"/>
        </w:rPr>
      </w:pPr>
    </w:p>
    <w:p w14:paraId="245BBBDB">
      <w:pPr>
        <w:wordWrap w:val="0"/>
        <w:spacing w:line="360" w:lineRule="auto"/>
        <w:jc w:val="right"/>
        <w:rPr>
          <w:rFonts w:asciiTheme="minorEastAsia" w:hAnsiTheme="minorEastAsia" w:eastAsiaTheme="minorEastAsia"/>
          <w:sz w:val="21"/>
          <w:szCs w:val="21"/>
          <w:lang w:eastAsia="zh-CN"/>
        </w:rPr>
      </w:pPr>
      <w:r>
        <w:rPr>
          <w:rFonts w:hint="eastAsia" w:asciiTheme="minorEastAsia" w:hAnsiTheme="minorEastAsia" w:eastAsiaTheme="minorEastAsia"/>
          <w:szCs w:val="21"/>
          <w:lang w:eastAsia="zh-CN"/>
        </w:rPr>
        <w:t xml:space="preserve">   安徽省地方校准规范</w:t>
      </w:r>
    </w:p>
    <w:p w14:paraId="533F0A91">
      <w:pPr>
        <w:spacing w:before="55" w:line="360" w:lineRule="auto"/>
        <w:jc w:val="right"/>
        <w:rPr>
          <w:rFonts w:asciiTheme="minorEastAsia" w:hAnsiTheme="minorEastAsia" w:eastAsiaTheme="minorEastAsia"/>
          <w:szCs w:val="21"/>
          <w:lang w:eastAsia="zh-CN"/>
        </w:rPr>
      </w:pPr>
      <w:r>
        <w:rPr>
          <w:rFonts w:hint="eastAsia" w:ascii="黑体" w:hAnsi="黑体" w:eastAsia="黑体"/>
          <w:szCs w:val="21"/>
          <w:lang w:eastAsia="zh-CN"/>
        </w:rPr>
        <w:t xml:space="preserve">   </w:t>
      </w:r>
      <w:r>
        <w:rPr>
          <w:rFonts w:hint="eastAsia" w:asciiTheme="minorEastAsia" w:hAnsiTheme="minorEastAsia" w:eastAsiaTheme="minorEastAsia"/>
          <w:szCs w:val="21"/>
          <w:lang w:eastAsia="zh-CN"/>
        </w:rPr>
        <w:t>重点排放单位碳排放计量器具配备及管理技术规范</w:t>
      </w:r>
    </w:p>
    <w:p w14:paraId="7906E52B">
      <w:pPr>
        <w:spacing w:before="55" w:line="360" w:lineRule="auto"/>
        <w:jc w:val="right"/>
        <w:rPr>
          <w:rFonts w:asciiTheme="minorEastAsia" w:hAnsiTheme="minorEastAsia" w:eastAsiaTheme="minorEastAsia"/>
          <w:szCs w:val="21"/>
          <w:lang w:eastAsia="zh-CN"/>
        </w:rPr>
      </w:pPr>
      <w:r>
        <w:rPr>
          <w:rFonts w:eastAsiaTheme="minorEastAsia"/>
          <w:szCs w:val="21"/>
          <w:lang w:eastAsia="zh-CN"/>
        </w:rPr>
        <w:t>JJF</w:t>
      </w:r>
      <w:r>
        <w:rPr>
          <w:rFonts w:hint="eastAsia" w:asciiTheme="minorEastAsia" w:hAnsiTheme="minorEastAsia" w:eastAsiaTheme="minorEastAsia"/>
          <w:szCs w:val="21"/>
          <w:lang w:eastAsia="zh-CN"/>
        </w:rPr>
        <w:t>（皖）</w:t>
      </w:r>
      <w:r>
        <w:rPr>
          <w:rFonts w:eastAsiaTheme="minorEastAsia"/>
          <w:szCs w:val="21"/>
          <w:lang w:eastAsia="zh-CN"/>
        </w:rPr>
        <w:t>XX</w:t>
      </w:r>
      <w:r>
        <w:rPr>
          <w:rFonts w:hint="eastAsia" w:eastAsiaTheme="minorEastAsia"/>
          <w:szCs w:val="21"/>
          <w:lang w:eastAsia="zh-CN"/>
        </w:rPr>
        <w:t>－</w:t>
      </w:r>
      <w:r>
        <w:rPr>
          <w:rFonts w:eastAsiaTheme="minorEastAsia"/>
          <w:szCs w:val="21"/>
          <w:lang w:eastAsia="zh-CN"/>
        </w:rPr>
        <w:t>202</w:t>
      </w:r>
      <w:r>
        <w:rPr>
          <w:rFonts w:hint="eastAsia" w:eastAsiaTheme="minorEastAsia"/>
          <w:szCs w:val="21"/>
          <w:lang w:val="en-US" w:eastAsia="zh-CN"/>
        </w:rPr>
        <w:t>5</w:t>
      </w:r>
    </w:p>
    <w:p w14:paraId="1FBD9EFB">
      <w:pPr>
        <w:wordWrap w:val="0"/>
        <w:spacing w:line="360" w:lineRule="auto"/>
        <w:jc w:val="right"/>
        <w:rPr>
          <w:rFonts w:asciiTheme="minorEastAsia" w:hAnsiTheme="minorEastAsia" w:eastAsiaTheme="minorEastAsia"/>
          <w:kern w:val="2"/>
          <w:sz w:val="32"/>
          <w:szCs w:val="28"/>
          <w:lang w:eastAsia="zh-CN"/>
        </w:rPr>
      </w:pPr>
      <w:r>
        <w:rPr>
          <w:rFonts w:hint="eastAsia" w:asciiTheme="minorEastAsia" w:hAnsiTheme="minorEastAsia" w:eastAsiaTheme="minorEastAsia"/>
          <w:szCs w:val="21"/>
          <w:lang w:eastAsia="zh-CN"/>
        </w:rPr>
        <w:t xml:space="preserve">      安徽省市场监督管理局发布</w:t>
      </w:r>
    </w:p>
    <w:p w14:paraId="73A84CA0">
      <w:pPr>
        <w:widowControl/>
        <w:autoSpaceDE/>
        <w:autoSpaceDN/>
        <w:spacing w:after="0"/>
        <w:rPr>
          <w:rFonts w:asciiTheme="minorEastAsia" w:hAnsiTheme="minorEastAsia" w:eastAsiaTheme="minorEastAsia"/>
          <w:kern w:val="2"/>
          <w:sz w:val="32"/>
          <w:szCs w:val="28"/>
          <w:lang w:eastAsia="zh-CN"/>
        </w:rPr>
      </w:pPr>
      <w:r>
        <w:rPr>
          <w:rFonts w:ascii="楷体"/>
          <w:sz w:val="20"/>
          <w:lang w:eastAsia="zh-CN"/>
        </w:rPr>
        <w:t xml:space="preserve"> </w:t>
      </w:r>
    </w:p>
    <w:p w14:paraId="22DBF616">
      <w:pPr>
        <w:kinsoku w:val="0"/>
        <w:overflowPunct w:val="0"/>
        <w:adjustRightInd w:val="0"/>
        <w:snapToGrid w:val="0"/>
        <w:rPr>
          <w:lang w:eastAsia="zh-CN"/>
        </w:rPr>
      </w:pPr>
      <w:r>
        <w:rPr>
          <w:rFonts w:hint="eastAsia" w:ascii="Times New Roman"/>
          <w:sz w:val="18"/>
          <w:lang w:eastAsia="zh-CN"/>
        </w:rPr>
        <w:t xml:space="preserve">                                                                                            </w:t>
      </w:r>
    </w:p>
    <w:sectPr>
      <w:headerReference r:id="rId10" w:type="default"/>
      <w:footerReference r:id="rId11" w:type="default"/>
      <w:pgSz w:w="11910" w:h="16840"/>
      <w:pgMar w:top="1780" w:right="918" w:bottom="278" w:left="1140" w:header="0" w:footer="68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46F98">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0AE3C">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04019">
    <w:pPr>
      <w:pStyle w:val="8"/>
    </w:pPr>
    <w:r>
      <w:pict>
        <v:shape id="文本框 11" o:spid="_x0000_s3075"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U6FpEMoBAACbAwAADgAAAAAAAAABACAAAAAeAQAAZHJzL2Uyb0Rv&#10;Yy54bWxQSwUGAAAAAAYABgBZAQAAWgUAAAAA&#10;">
          <v:path/>
          <v:fill on="f" focussize="0,0"/>
          <v:stroke on="f" joinstyle="miter"/>
          <v:imagedata o:title=""/>
          <o:lock v:ext="edit"/>
          <v:textbox inset="0mm,0mm,0mm,0mm" style="mso-fit-shape-to-text:t;">
            <w:txbxContent>
              <w:p w14:paraId="416DE935">
                <w:pPr>
                  <w:pStyle w:val="8"/>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I</w:t>
                </w:r>
                <w:r>
                  <w:rPr>
                    <w:rFonts w:ascii="Times New Roman" w:hAnsi="Times New Roman" w:cs="Times New Roman"/>
                    <w:sz w:val="21"/>
                    <w:szCs w:val="21"/>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A7972">
    <w:pPr>
      <w:pStyle w:val="8"/>
    </w:pPr>
    <w:r>
      <w:pict>
        <v:shape id="_x0000_s3074" o:spid="_x0000_s3074"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dTfTjMoBAACbAwAADgAAAAAAAAABACAAAAAeAQAAZHJzL2Uyb0Rv&#10;Yy54bWxQSwUGAAAAAAYABgBZAQAAWgUAAAAA&#10;">
          <v:path/>
          <v:fill on="f" focussize="0,0"/>
          <v:stroke on="f" joinstyle="miter"/>
          <v:imagedata o:title=""/>
          <o:lock v:ext="edit"/>
          <v:textbox inset="0mm,0mm,0mm,0mm" style="mso-fit-shape-to-text:t;">
            <w:txbxContent>
              <w:p w14:paraId="1F9E625C">
                <w:pPr>
                  <w:pStyle w:val="8"/>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1</w:t>
                </w:r>
                <w:r>
                  <w:rPr>
                    <w:rFonts w:ascii="Times New Roman" w:hAnsi="Times New Roman" w:cs="Times New Roman"/>
                    <w:sz w:val="21"/>
                    <w:szCs w:val="21"/>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04296">
    <w:pPr>
      <w:pStyle w:val="8"/>
    </w:pPr>
    <w:r>
      <w:pict>
        <v:shape id="文本框 24" o:spid="_x0000_s3073"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68i58oBAACbAwAADgAAAGRycy9lMm9Eb2MueG1srVPNjtMwEL4j8Q6W&#10;79RpB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e4Ca8ocdzixC/fv11+/Lr8/EpW&#10;L3OD+gA15t0FzEzDWz9g8uwHdGbdg4o2f1ERwTi293xtrxwSEfnRerVeVxgSGJsviM8enocI6Z30&#10;lmSjoRHnV9rKTx8gjalzSq7m/K02pszQuL8ciJk9LHMfOWYrDfthErT37Rn19Dj6hjrcdErMe4ed&#10;zVsyG3E29rNxDFEfOqS2LLwgvDkmJFG45Qoj7FQYZ1bUTfuVl+LPe8l6+Ke2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v68i58oBAACbAwAADgAAAAAAAAABACAAAAAeAQAAZHJzL2Uyb0Rv&#10;Yy54bWxQSwUGAAAAAAYABgBZAQAAWgUAAAAA&#10;">
          <v:path/>
          <v:fill on="f" focussize="0,0"/>
          <v:stroke on="f" joinstyle="miter"/>
          <v:imagedata o:title=""/>
          <o:lock v:ext="edit"/>
          <v:textbox inset="0mm,0mm,0mm,0mm" style="mso-fit-shape-to-text:t;">
            <w:txbxContent>
              <w:p w14:paraId="35B503EE">
                <w:pPr>
                  <w:pStyle w:val="8"/>
                  <w:rPr>
                    <w:rFonts w:ascii="Times New Roman" w:hAnsi="Times New Roman" w:cs="Times New Roman"/>
                    <w:sz w:val="21"/>
                    <w:szCs w:val="21"/>
                  </w:rPr>
                </w:pP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D8E6F">
    <w:pPr>
      <w:pStyle w:val="5"/>
      <w:spacing w:line="14" w:lineRule="auto"/>
      <w:rPr>
        <w:sz w:val="20"/>
      </w:rPr>
    </w:pPr>
    <w:r>
      <w:rPr>
        <w:lang w:eastAsia="zh-CN" w:bidi="ar-SA"/>
      </w:rPr>
      <w:pict>
        <v:line id="直线 4" o:spid="_x0000_s3079" o:spt="20" style="position:absolute;left:0pt;margin-left:59.8pt;margin-top:69.9pt;height:0.8pt;width:484.15pt;mso-position-horizontal-relative:page;mso-position-vertical-relative:page;z-index:-251657216;mso-width-relative:page;mso-height-relative:page;" coordsize="21600,21600" o:gfxdata="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YtrwctgA&#10;AAAMAQAADwAAAAAAAAABACAAAAAiAAAAZHJzL2Rvd25yZXYueG1sUEsBAhQAFAAAAAgAh07iQEwn&#10;QhXmAQAA3gMAAA4AAAAAAAAAAQAgAAAAJwEAAGRycy9lMm9Eb2MueG1sUEsFBgAAAAAGAAYAWQEA&#10;AH8FAAAAAA==&#10;">
          <v:path arrowok="t"/>
          <v:fill focussize="0,0"/>
          <v:stroke weight="0.72pt"/>
          <v:imagedata o:title=""/>
          <o:lock v:ext="edit"/>
        </v:line>
      </w:pict>
    </w:r>
  </w:p>
  <w:p w14:paraId="5A886C0C">
    <w:pPr>
      <w:pStyle w:val="5"/>
      <w:spacing w:line="14" w:lineRule="auto"/>
      <w:rPr>
        <w:sz w:val="20"/>
      </w:rPr>
    </w:pPr>
    <w:r>
      <w:rPr>
        <w:lang w:eastAsia="zh-CN" w:bidi="ar-SA"/>
      </w:rPr>
      <w:pict>
        <v:shape id="文本框 3" o:spid="_x0000_s3078" o:spt="202" type="#_x0000_t202" style="position:absolute;left:0pt;margin-left:246.5pt;margin-top:52.25pt;height:13.6pt;width:82.5pt;mso-position-horizontal-relative:page;mso-position-vertical-relative:page;z-index:-251656192;mso-width-relative:page;mso-height-relative:page;" filled="f" stroked="f" coordsize="21600,21600" o:gfxdata="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rtFbp2QAAAAsBAAAPAAAAAAAAAAEAIAAAACIAAABkcnMvZG93bnJldi54&#10;bWxQSwECFAAUAAAACACHTuJAlT41I8ABAACBAwAADgAAAAAAAAABACAAAAAoAQAAZHJzL2Uyb0Rv&#10;Yy54bWxQSwUGAAAAAAYABgBZAQAAWgUAAAAA&#10;">
          <v:path/>
          <v:fill on="f" focussize="0,0"/>
          <v:stroke on="f" joinstyle="miter"/>
          <v:imagedata o:title=""/>
          <o:lock v:ext="edit"/>
          <v:textbox inset="0mm,0mm,0mm,0mm">
            <w:txbxContent>
              <w:p w14:paraId="664566AE">
                <w:pPr>
                  <w:spacing w:line="265" w:lineRule="exact"/>
                  <w:ind w:left="20"/>
                  <w:rPr>
                    <w:rFonts w:ascii="Times New Roman"/>
                    <w:sz w:val="21"/>
                    <w:lang w:eastAsia="zh-CN"/>
                  </w:rPr>
                </w:pPr>
                <w:r>
                  <w:rPr>
                    <w:rFonts w:ascii="Times New Roman" w:eastAsia="Times New Roman"/>
                    <w:sz w:val="21"/>
                  </w:rPr>
                  <w:t>JJF</w:t>
                </w:r>
                <w:r>
                  <w:rPr>
                    <w:rFonts w:hint="eastAsia" w:ascii="黑体" w:eastAsia="黑体"/>
                    <w:sz w:val="21"/>
                  </w:rPr>
                  <w:t>（</w:t>
                </w:r>
                <w:r>
                  <w:rPr>
                    <w:rFonts w:hint="eastAsia" w:ascii="黑体" w:eastAsia="黑体"/>
                    <w:sz w:val="21"/>
                    <w:lang w:eastAsia="zh-CN"/>
                  </w:rPr>
                  <w:t>皖</w:t>
                </w:r>
                <w:r>
                  <w:rPr>
                    <w:rFonts w:hint="eastAsia" w:ascii="黑体" w:eastAsia="黑体"/>
                    <w:sz w:val="21"/>
                  </w:rPr>
                  <w:t>）</w:t>
                </w:r>
                <w:r>
                  <w:rPr>
                    <w:rFonts w:hint="eastAsia" w:ascii="Times New Roman" w:eastAsiaTheme="minorEastAsia"/>
                    <w:sz w:val="21"/>
                    <w:lang w:eastAsia="zh-CN"/>
                  </w:rPr>
                  <w:t>##</w:t>
                </w:r>
                <w:r>
                  <w:rPr>
                    <w:rFonts w:ascii="Times New Roman" w:eastAsia="Times New Roman"/>
                    <w:sz w:val="21"/>
                  </w:rPr>
                  <w:t>-20</w:t>
                </w:r>
                <w:r>
                  <w:rPr>
                    <w:rFonts w:hint="eastAsia" w:ascii="Times New Roman"/>
                    <w:sz w:val="21"/>
                    <w:lang w:eastAsia="zh-CN"/>
                  </w:rPr>
                  <w:t>2</w:t>
                </w:r>
                <w:r>
                  <w:rPr>
                    <w:rFonts w:hint="eastAsia" w:ascii="Times New Roman"/>
                    <w:sz w:val="21"/>
                    <w:lang w:val="en-US" w:eastAsia="zh-CN"/>
                  </w:rPr>
                  <w:t>5</w:t>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2E086">
    <w:pPr>
      <w:spacing w:after="0"/>
      <w:rPr>
        <w:sz w:val="20"/>
      </w:rPr>
    </w:pPr>
    <w:r>
      <w:rPr>
        <w:lang w:eastAsia="zh-CN" w:bidi="ar-SA"/>
      </w:rPr>
      <w:pict>
        <v:shape id="文本框 1" o:spid="_x0000_s3077" o:spt="202" type="#_x0000_t202" style="position:absolute;left:0pt;margin-left:255.65pt;margin-top:55.55pt;height:13.6pt;width:82.6pt;mso-position-horizontal-relative:page;mso-position-vertical-relative:page;z-index:-251649024;mso-width-relative:page;mso-height-relative:page;" filled="f" stroked="f" coordsize="21600,21600" o:gfxdata="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NJnCl2QAAAAsBAAAPAAAAAAAAAAEAIAAAACIAAABkcnMvZG93bnJldi54bWxQ&#10;SwECFAAUAAAACACHTuJA4mBWg70BAACBAwAADgAAAAAAAAABACAAAAAoAQAAZHJzL2Uyb0RvYy54&#10;bWxQSwUGAAAAAAYABgBZAQAAVwUAAAAA&#10;">
          <v:path/>
          <v:fill on="f" focussize="0,0"/>
          <v:stroke on="f" joinstyle="miter"/>
          <v:imagedata o:title=""/>
          <o:lock v:ext="edit"/>
          <v:textbox inset="0mm,0mm,0mm,0mm">
            <w:txbxContent>
              <w:p w14:paraId="687B8096">
                <w:pPr>
                  <w:spacing w:line="265" w:lineRule="exact"/>
                  <w:ind w:left="20"/>
                  <w:rPr>
                    <w:rFonts w:ascii="Times New Roman"/>
                    <w:sz w:val="21"/>
                    <w:lang w:eastAsia="zh-CN"/>
                  </w:rPr>
                </w:pPr>
                <w:r>
                  <w:rPr>
                    <w:rFonts w:ascii="Times New Roman" w:eastAsia="Times New Roman"/>
                    <w:sz w:val="21"/>
                  </w:rPr>
                  <w:t>JJF</w:t>
                </w:r>
                <w:r>
                  <w:rPr>
                    <w:rFonts w:hint="eastAsia" w:ascii="黑体" w:eastAsia="黑体"/>
                    <w:sz w:val="21"/>
                  </w:rPr>
                  <w:t>（</w:t>
                </w:r>
                <w:r>
                  <w:rPr>
                    <w:rFonts w:hint="eastAsia" w:ascii="黑体" w:eastAsia="黑体"/>
                    <w:sz w:val="21"/>
                    <w:lang w:eastAsia="zh-CN"/>
                  </w:rPr>
                  <w:t>皖</w:t>
                </w:r>
                <w:r>
                  <w:rPr>
                    <w:rFonts w:hint="eastAsia" w:ascii="黑体" w:eastAsia="黑体"/>
                    <w:sz w:val="21"/>
                  </w:rPr>
                  <w:t>）</w:t>
                </w:r>
                <w:r>
                  <w:rPr>
                    <w:rFonts w:hint="eastAsia" w:ascii="Times New Roman" w:eastAsiaTheme="minorEastAsia"/>
                    <w:sz w:val="21"/>
                    <w:lang w:eastAsia="zh-CN"/>
                  </w:rPr>
                  <w:t>##</w:t>
                </w:r>
                <w:r>
                  <w:rPr>
                    <w:rFonts w:ascii="Times New Roman" w:eastAsia="Times New Roman"/>
                    <w:sz w:val="21"/>
                  </w:rPr>
                  <w:t>-20</w:t>
                </w:r>
                <w:r>
                  <w:rPr>
                    <w:rFonts w:hint="eastAsia" w:ascii="Times New Roman"/>
                    <w:sz w:val="21"/>
                    <w:lang w:eastAsia="zh-CN"/>
                  </w:rPr>
                  <w:t>2</w:t>
                </w:r>
                <w:r>
                  <w:rPr>
                    <w:rFonts w:hint="eastAsia" w:ascii="Times New Roman"/>
                    <w:sz w:val="21"/>
                    <w:lang w:val="en-US" w:eastAsia="zh-CN"/>
                  </w:rPr>
                  <w:t>5</w:t>
                </w:r>
              </w:p>
            </w:txbxContent>
          </v:textbox>
        </v:shape>
      </w:pict>
    </w:r>
    <w:r>
      <w:rPr>
        <w:lang w:eastAsia="zh-CN" w:bidi="ar-SA"/>
      </w:rPr>
      <w:pict>
        <v:line id="_x0000_s3076" o:spid="_x0000_s3076" o:spt="20" style="position:absolute;left:0pt;margin-left:58.35pt;margin-top:73.25pt;height:0.8pt;width:491.3pt;mso-position-horizontal-relative:page;mso-position-vertical-relative:page;z-index:-251650048;mso-width-relative:page;mso-height-relative:page;" coordsize="21600,21600" o:gfxdata="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4Nk85tkA&#10;AAAMAQAADwAAAAAAAAABACAAAAAiAAAAZHJzL2Rvd25yZXYueG1sUEsBAhQAFAAAAAgAh07iQNXD&#10;FyLlAQAA3gMAAA4AAAAAAAAAAQAgAAAAKAEAAGRycy9lMm9Eb2MueG1sUEsFBgAAAAAGAAYAWQEA&#10;AH8FAAAAAA==&#10;">
          <v:path arrowok="t"/>
          <v:fill focussize="0,0"/>
          <v:stroke weight="0.72pt"/>
          <v:imagedata o:title=""/>
          <o:lock v:ext="edit"/>
        </v:lin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10D08">
    <w:pPr>
      <w:spacing w:after="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A5DC6A"/>
    <w:multiLevelType w:val="multilevel"/>
    <w:tmpl w:val="9DA5DC6A"/>
    <w:lvl w:ilvl="0" w:tentative="0">
      <w:start w:val="1"/>
      <w:numFmt w:val="none"/>
      <w:lvlText w:val="6.2"/>
      <w:lvlJc w:val="left"/>
      <w:pPr>
        <w:tabs>
          <w:tab w:val="left" w:pos="420"/>
        </w:tabs>
        <w:ind w:left="703" w:hanging="482"/>
      </w:pPr>
      <w:rPr>
        <w:rFonts w:hint="default" w:ascii="Times New Roman" w:hAnsi="Times New Roman" w:cs="Times New Roman"/>
        <w:sz w:val="24"/>
        <w:szCs w:val="24"/>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D02C2B7A"/>
    <w:multiLevelType w:val="multilevel"/>
    <w:tmpl w:val="D02C2B7A"/>
    <w:lvl w:ilvl="0" w:tentative="0">
      <w:start w:val="1"/>
      <w:numFmt w:val="none"/>
      <w:lvlText w:val="6.4"/>
      <w:lvlJc w:val="left"/>
      <w:pPr>
        <w:tabs>
          <w:tab w:val="left" w:pos="420"/>
        </w:tabs>
        <w:ind w:left="703" w:hanging="482"/>
      </w:pPr>
      <w:rPr>
        <w:rFonts w:hint="default" w:ascii="Times New Roman" w:hAnsi="Times New Roman" w:cs="Times New Roman"/>
        <w:sz w:val="24"/>
        <w:szCs w:val="24"/>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DC43598F"/>
    <w:multiLevelType w:val="multilevel"/>
    <w:tmpl w:val="DC43598F"/>
    <w:lvl w:ilvl="0" w:tentative="0">
      <w:start w:val="1"/>
      <w:numFmt w:val="none"/>
      <w:lvlText w:val="6.1"/>
      <w:lvlJc w:val="left"/>
      <w:pPr>
        <w:tabs>
          <w:tab w:val="left" w:pos="420"/>
        </w:tabs>
        <w:ind w:left="703" w:hanging="482"/>
      </w:pPr>
      <w:rPr>
        <w:rFonts w:hint="default" w:ascii="Times New Roman" w:hAnsi="Times New Roman" w:cs="Times New Roman"/>
        <w:sz w:val="24"/>
        <w:szCs w:val="24"/>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29B9AC08"/>
    <w:multiLevelType w:val="multilevel"/>
    <w:tmpl w:val="29B9AC08"/>
    <w:lvl w:ilvl="0" w:tentative="0">
      <w:start w:val="1"/>
      <w:numFmt w:val="none"/>
      <w:lvlText w:val="6.3"/>
      <w:lvlJc w:val="left"/>
      <w:pPr>
        <w:tabs>
          <w:tab w:val="left" w:pos="420"/>
        </w:tabs>
        <w:ind w:left="703" w:hanging="482"/>
      </w:pPr>
      <w:rPr>
        <w:rFonts w:hint="default" w:ascii="Times New Roman" w:hAnsi="Times New Roman" w:cs="Times New Roman"/>
        <w:sz w:val="24"/>
        <w:szCs w:val="24"/>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5943249B"/>
    <w:multiLevelType w:val="multilevel"/>
    <w:tmpl w:val="5943249B"/>
    <w:lvl w:ilvl="0" w:tentative="0">
      <w:start w:val="1"/>
      <w:numFmt w:val="decimal"/>
      <w:lvlText w:val="%1"/>
      <w:lvlJc w:val="left"/>
      <w:pPr>
        <w:ind w:left="580" w:hanging="360"/>
      </w:pPr>
      <w:rPr>
        <w:rFonts w:hint="default" w:ascii="Times New Roman" w:hAnsi="Times New Roman" w:eastAsia="Times New Roman" w:cs="Times New Roman"/>
        <w:w w:val="100"/>
        <w:sz w:val="24"/>
        <w:szCs w:val="24"/>
        <w:lang w:val="en-US" w:eastAsia="en-US" w:bidi="en-US"/>
      </w:rPr>
    </w:lvl>
    <w:lvl w:ilvl="1" w:tentative="0">
      <w:start w:val="1"/>
      <w:numFmt w:val="decimal"/>
      <w:lvlText w:val="%1.%2"/>
      <w:lvlJc w:val="left"/>
      <w:pPr>
        <w:ind w:left="760" w:hanging="540"/>
      </w:pPr>
      <w:rPr>
        <w:rFonts w:hint="default" w:ascii="Times New Roman" w:hAnsi="Times New Roman" w:eastAsia="Times New Roman" w:cs="Times New Roman"/>
        <w:w w:val="100"/>
        <w:sz w:val="24"/>
        <w:szCs w:val="24"/>
        <w:lang w:val="en-US" w:eastAsia="en-US" w:bidi="en-US"/>
      </w:rPr>
    </w:lvl>
    <w:lvl w:ilvl="2" w:tentative="0">
      <w:start w:val="1"/>
      <w:numFmt w:val="decimal"/>
      <w:lvlText w:val="%1.%2.%3"/>
      <w:lvlJc w:val="left"/>
      <w:pPr>
        <w:ind w:left="940" w:hanging="720"/>
      </w:pPr>
      <w:rPr>
        <w:rFonts w:hint="default" w:ascii="Times New Roman" w:hAnsi="Times New Roman" w:eastAsia="Times New Roman" w:cs="Times New Roman"/>
        <w:spacing w:val="-1"/>
        <w:w w:val="100"/>
        <w:sz w:val="24"/>
        <w:szCs w:val="24"/>
        <w:lang w:val="en-US" w:eastAsia="en-US" w:bidi="en-US"/>
      </w:rPr>
    </w:lvl>
    <w:lvl w:ilvl="3" w:tentative="0">
      <w:start w:val="1"/>
      <w:numFmt w:val="decimal"/>
      <w:lvlText w:val="%1.%2.%3.%4"/>
      <w:lvlJc w:val="left"/>
      <w:pPr>
        <w:ind w:left="220" w:hanging="900"/>
      </w:pPr>
      <w:rPr>
        <w:rFonts w:hint="default" w:ascii="Times New Roman" w:hAnsi="Times New Roman" w:cs="Times New Roman"/>
        <w:b w:val="0"/>
        <w:sz w:val="24"/>
        <w:szCs w:val="24"/>
        <w:lang w:val="en-US" w:eastAsia="en-US" w:bidi="en-US"/>
      </w:rPr>
    </w:lvl>
    <w:lvl w:ilvl="4" w:tentative="0">
      <w:start w:val="1"/>
      <w:numFmt w:val="decimal"/>
      <w:lvlText w:val="（%5）"/>
      <w:lvlJc w:val="left"/>
      <w:pPr>
        <w:ind w:left="1181" w:hanging="601"/>
      </w:pPr>
      <w:rPr>
        <w:rFonts w:hint="default" w:ascii="宋体" w:hAnsi="宋体" w:eastAsia="宋体" w:cs="宋体"/>
        <w:spacing w:val="-60"/>
        <w:w w:val="100"/>
        <w:sz w:val="22"/>
        <w:szCs w:val="22"/>
        <w:lang w:val="en-US" w:eastAsia="en-US" w:bidi="en-US"/>
      </w:rPr>
    </w:lvl>
    <w:lvl w:ilvl="5" w:tentative="0">
      <w:start w:val="0"/>
      <w:numFmt w:val="bullet"/>
      <w:lvlText w:val="•"/>
      <w:lvlJc w:val="left"/>
      <w:pPr>
        <w:ind w:left="2624" w:hanging="601"/>
      </w:pPr>
      <w:rPr>
        <w:rFonts w:hint="default"/>
        <w:lang w:val="en-US" w:eastAsia="en-US" w:bidi="en-US"/>
      </w:rPr>
    </w:lvl>
    <w:lvl w:ilvl="6" w:tentative="0">
      <w:start w:val="0"/>
      <w:numFmt w:val="bullet"/>
      <w:lvlText w:val="•"/>
      <w:lvlJc w:val="left"/>
      <w:pPr>
        <w:ind w:left="4068" w:hanging="601"/>
      </w:pPr>
      <w:rPr>
        <w:rFonts w:hint="default"/>
        <w:lang w:val="en-US" w:eastAsia="en-US" w:bidi="en-US"/>
      </w:rPr>
    </w:lvl>
    <w:lvl w:ilvl="7" w:tentative="0">
      <w:start w:val="0"/>
      <w:numFmt w:val="bullet"/>
      <w:lvlText w:val="•"/>
      <w:lvlJc w:val="left"/>
      <w:pPr>
        <w:ind w:left="5513" w:hanging="601"/>
      </w:pPr>
      <w:rPr>
        <w:rFonts w:hint="default"/>
        <w:lang w:val="en-US" w:eastAsia="en-US" w:bidi="en-US"/>
      </w:rPr>
    </w:lvl>
    <w:lvl w:ilvl="8" w:tentative="0">
      <w:start w:val="0"/>
      <w:numFmt w:val="bullet"/>
      <w:lvlText w:val="•"/>
      <w:lvlJc w:val="left"/>
      <w:pPr>
        <w:ind w:left="6957" w:hanging="601"/>
      </w:pPr>
      <w:rPr>
        <w:rFonts w:hint="default"/>
        <w:lang w:val="en-US" w:eastAsia="en-US" w:bidi="en-US"/>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1201"/>
  <w:drawingGridHorizontalSpacing w:val="220"/>
  <w:drawingGridVerticalSpacing w:val="1"/>
  <w:noPunctuationKerning w:val="1"/>
  <w:characterSpacingControl w:val="compressPunctuation"/>
  <w:hdrShapeDefaults>
    <o:shapelayout v:ext="edit">
      <o:idmap v:ext="edit" data="3"/>
    </o:shapelayout>
  </w:hdrShapeDefaults>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2E3YmQ0OGMwZjJjODM3MDUwMTkzMzJhMjhmNzRhMDAifQ=="/>
  </w:docVars>
  <w:rsids>
    <w:rsidRoot w:val="00C331E6"/>
    <w:rsid w:val="000024F0"/>
    <w:rsid w:val="000C3F23"/>
    <w:rsid w:val="000D53E4"/>
    <w:rsid w:val="001A4716"/>
    <w:rsid w:val="0023227D"/>
    <w:rsid w:val="002A5810"/>
    <w:rsid w:val="002C5EB5"/>
    <w:rsid w:val="002D5914"/>
    <w:rsid w:val="003248D3"/>
    <w:rsid w:val="0034179F"/>
    <w:rsid w:val="003C2C94"/>
    <w:rsid w:val="004115B1"/>
    <w:rsid w:val="004A7A2C"/>
    <w:rsid w:val="00540086"/>
    <w:rsid w:val="00626F08"/>
    <w:rsid w:val="00777C2E"/>
    <w:rsid w:val="008428D5"/>
    <w:rsid w:val="00943B80"/>
    <w:rsid w:val="00974B4F"/>
    <w:rsid w:val="009A06B4"/>
    <w:rsid w:val="00A02FF4"/>
    <w:rsid w:val="00A17DD6"/>
    <w:rsid w:val="00AA6AD4"/>
    <w:rsid w:val="00B06D1A"/>
    <w:rsid w:val="00B35F7C"/>
    <w:rsid w:val="00B93B24"/>
    <w:rsid w:val="00BB4518"/>
    <w:rsid w:val="00C331E6"/>
    <w:rsid w:val="00C41464"/>
    <w:rsid w:val="00DA4BEE"/>
    <w:rsid w:val="00DF44C4"/>
    <w:rsid w:val="00EC1930"/>
    <w:rsid w:val="00F12035"/>
    <w:rsid w:val="00F27892"/>
    <w:rsid w:val="010919F5"/>
    <w:rsid w:val="010E64B2"/>
    <w:rsid w:val="01232ED2"/>
    <w:rsid w:val="01791910"/>
    <w:rsid w:val="01A21FB8"/>
    <w:rsid w:val="01AD3260"/>
    <w:rsid w:val="029F146F"/>
    <w:rsid w:val="02F44D24"/>
    <w:rsid w:val="0345286E"/>
    <w:rsid w:val="035737F3"/>
    <w:rsid w:val="03B72DCD"/>
    <w:rsid w:val="04BD79E6"/>
    <w:rsid w:val="04D96B7B"/>
    <w:rsid w:val="04DD0C9E"/>
    <w:rsid w:val="055A7363"/>
    <w:rsid w:val="057A34B4"/>
    <w:rsid w:val="059922BB"/>
    <w:rsid w:val="068722AB"/>
    <w:rsid w:val="06CE1DB6"/>
    <w:rsid w:val="07CB4F35"/>
    <w:rsid w:val="085C4B4F"/>
    <w:rsid w:val="08902604"/>
    <w:rsid w:val="08B92C1A"/>
    <w:rsid w:val="095C40C9"/>
    <w:rsid w:val="097270DC"/>
    <w:rsid w:val="09814218"/>
    <w:rsid w:val="09CF4F42"/>
    <w:rsid w:val="0A4C220F"/>
    <w:rsid w:val="0AF67B2D"/>
    <w:rsid w:val="0AFE72B9"/>
    <w:rsid w:val="0B5C5BE2"/>
    <w:rsid w:val="0BED2CDE"/>
    <w:rsid w:val="0C071E8B"/>
    <w:rsid w:val="0C0E2057"/>
    <w:rsid w:val="0C3B3293"/>
    <w:rsid w:val="0C72047D"/>
    <w:rsid w:val="0D5A43A4"/>
    <w:rsid w:val="0D6F063D"/>
    <w:rsid w:val="0D866BA8"/>
    <w:rsid w:val="0D882D24"/>
    <w:rsid w:val="0DE53AAD"/>
    <w:rsid w:val="0E4017EB"/>
    <w:rsid w:val="0E652975"/>
    <w:rsid w:val="0E930150"/>
    <w:rsid w:val="0F2E3D3A"/>
    <w:rsid w:val="10321D14"/>
    <w:rsid w:val="10D93FCE"/>
    <w:rsid w:val="110B431B"/>
    <w:rsid w:val="11136CD1"/>
    <w:rsid w:val="11366355"/>
    <w:rsid w:val="12255C20"/>
    <w:rsid w:val="12822D0F"/>
    <w:rsid w:val="12AA36D7"/>
    <w:rsid w:val="13135720"/>
    <w:rsid w:val="1326458A"/>
    <w:rsid w:val="156D3FC7"/>
    <w:rsid w:val="15E62472"/>
    <w:rsid w:val="173C48F7"/>
    <w:rsid w:val="181468F4"/>
    <w:rsid w:val="18463A13"/>
    <w:rsid w:val="184F5A80"/>
    <w:rsid w:val="18632F18"/>
    <w:rsid w:val="190242DC"/>
    <w:rsid w:val="192B12EA"/>
    <w:rsid w:val="19E75453"/>
    <w:rsid w:val="1A987E40"/>
    <w:rsid w:val="1AF24800"/>
    <w:rsid w:val="1BA94E4D"/>
    <w:rsid w:val="1C7B3BB9"/>
    <w:rsid w:val="1C827473"/>
    <w:rsid w:val="1CC363A5"/>
    <w:rsid w:val="1CCE26B8"/>
    <w:rsid w:val="1CEC2B3E"/>
    <w:rsid w:val="1D177E42"/>
    <w:rsid w:val="1D2556A9"/>
    <w:rsid w:val="1D623C74"/>
    <w:rsid w:val="1D6628A3"/>
    <w:rsid w:val="1F1E21F9"/>
    <w:rsid w:val="1F767E64"/>
    <w:rsid w:val="20371552"/>
    <w:rsid w:val="2099456E"/>
    <w:rsid w:val="20A15BB5"/>
    <w:rsid w:val="2141740A"/>
    <w:rsid w:val="219428C6"/>
    <w:rsid w:val="21D61C3C"/>
    <w:rsid w:val="21D94AE5"/>
    <w:rsid w:val="22626603"/>
    <w:rsid w:val="22A75E85"/>
    <w:rsid w:val="22BF646D"/>
    <w:rsid w:val="22E33BC2"/>
    <w:rsid w:val="23216C63"/>
    <w:rsid w:val="240E4C71"/>
    <w:rsid w:val="24BA3513"/>
    <w:rsid w:val="24D75F82"/>
    <w:rsid w:val="25AD7E6B"/>
    <w:rsid w:val="26221809"/>
    <w:rsid w:val="262E7508"/>
    <w:rsid w:val="268B0052"/>
    <w:rsid w:val="276A6DE2"/>
    <w:rsid w:val="27E3461F"/>
    <w:rsid w:val="282D5367"/>
    <w:rsid w:val="287A50CF"/>
    <w:rsid w:val="28CB50AD"/>
    <w:rsid w:val="29744C6B"/>
    <w:rsid w:val="2A1B7A58"/>
    <w:rsid w:val="2BFF790C"/>
    <w:rsid w:val="2C1C14D7"/>
    <w:rsid w:val="2C333389"/>
    <w:rsid w:val="2C642A24"/>
    <w:rsid w:val="2CA77CD1"/>
    <w:rsid w:val="2CC50852"/>
    <w:rsid w:val="2D0234D2"/>
    <w:rsid w:val="2D201ED9"/>
    <w:rsid w:val="2D852743"/>
    <w:rsid w:val="2E5073D1"/>
    <w:rsid w:val="2E5304EF"/>
    <w:rsid w:val="2E5D389C"/>
    <w:rsid w:val="2EA80FBB"/>
    <w:rsid w:val="2ECC2807"/>
    <w:rsid w:val="2F77273B"/>
    <w:rsid w:val="30ED7159"/>
    <w:rsid w:val="325929AD"/>
    <w:rsid w:val="32803A46"/>
    <w:rsid w:val="32925116"/>
    <w:rsid w:val="32CC662B"/>
    <w:rsid w:val="34086670"/>
    <w:rsid w:val="34A40D5D"/>
    <w:rsid w:val="34B34216"/>
    <w:rsid w:val="358950B3"/>
    <w:rsid w:val="359356A5"/>
    <w:rsid w:val="35AC27CE"/>
    <w:rsid w:val="35E6169F"/>
    <w:rsid w:val="35F015C8"/>
    <w:rsid w:val="3602013C"/>
    <w:rsid w:val="36A44B94"/>
    <w:rsid w:val="376B23C1"/>
    <w:rsid w:val="381E54F8"/>
    <w:rsid w:val="38C65445"/>
    <w:rsid w:val="38D8631F"/>
    <w:rsid w:val="3914724D"/>
    <w:rsid w:val="39932516"/>
    <w:rsid w:val="39B70DB2"/>
    <w:rsid w:val="3A027B69"/>
    <w:rsid w:val="3A0D73EC"/>
    <w:rsid w:val="3A430A4A"/>
    <w:rsid w:val="3B732951"/>
    <w:rsid w:val="3B78623A"/>
    <w:rsid w:val="3B8B7064"/>
    <w:rsid w:val="3BB75B4D"/>
    <w:rsid w:val="3BCE4906"/>
    <w:rsid w:val="3C8D7A42"/>
    <w:rsid w:val="3CA113F7"/>
    <w:rsid w:val="3D447597"/>
    <w:rsid w:val="3E647981"/>
    <w:rsid w:val="3E9E77BD"/>
    <w:rsid w:val="3EF34AB0"/>
    <w:rsid w:val="3F2A5A1C"/>
    <w:rsid w:val="3FCA75D5"/>
    <w:rsid w:val="4051509D"/>
    <w:rsid w:val="407D021F"/>
    <w:rsid w:val="413B52B3"/>
    <w:rsid w:val="41E73B64"/>
    <w:rsid w:val="4216472C"/>
    <w:rsid w:val="42B12F3C"/>
    <w:rsid w:val="42B754FA"/>
    <w:rsid w:val="42F02098"/>
    <w:rsid w:val="43BB2305"/>
    <w:rsid w:val="44660DD8"/>
    <w:rsid w:val="44676DCB"/>
    <w:rsid w:val="44BE457F"/>
    <w:rsid w:val="44F20759"/>
    <w:rsid w:val="45432B93"/>
    <w:rsid w:val="45A55DFD"/>
    <w:rsid w:val="463F1A8A"/>
    <w:rsid w:val="469D4D26"/>
    <w:rsid w:val="46F74BFA"/>
    <w:rsid w:val="470932CB"/>
    <w:rsid w:val="476647B6"/>
    <w:rsid w:val="479B1265"/>
    <w:rsid w:val="47CA2E28"/>
    <w:rsid w:val="47D606A0"/>
    <w:rsid w:val="48021647"/>
    <w:rsid w:val="48585082"/>
    <w:rsid w:val="48645AFB"/>
    <w:rsid w:val="487C3D9A"/>
    <w:rsid w:val="497029D3"/>
    <w:rsid w:val="4AC766C0"/>
    <w:rsid w:val="4B143BE0"/>
    <w:rsid w:val="4CB4446E"/>
    <w:rsid w:val="4D4A292A"/>
    <w:rsid w:val="4E1031FC"/>
    <w:rsid w:val="4E2E44B5"/>
    <w:rsid w:val="4EEE4370"/>
    <w:rsid w:val="50321291"/>
    <w:rsid w:val="50ED3B05"/>
    <w:rsid w:val="513A7134"/>
    <w:rsid w:val="520D2A9A"/>
    <w:rsid w:val="523429E2"/>
    <w:rsid w:val="527F44F6"/>
    <w:rsid w:val="52B948AA"/>
    <w:rsid w:val="52CA2DCE"/>
    <w:rsid w:val="52E00CE4"/>
    <w:rsid w:val="530F506C"/>
    <w:rsid w:val="532100B4"/>
    <w:rsid w:val="53440672"/>
    <w:rsid w:val="54443C9E"/>
    <w:rsid w:val="54D062C6"/>
    <w:rsid w:val="55781E8E"/>
    <w:rsid w:val="55DD5CB4"/>
    <w:rsid w:val="564C7BCE"/>
    <w:rsid w:val="572A0ECA"/>
    <w:rsid w:val="57D75616"/>
    <w:rsid w:val="58CA4A69"/>
    <w:rsid w:val="58DD0FB2"/>
    <w:rsid w:val="592D6602"/>
    <w:rsid w:val="59B927E1"/>
    <w:rsid w:val="59FF69FB"/>
    <w:rsid w:val="5A992006"/>
    <w:rsid w:val="5B0D5B7E"/>
    <w:rsid w:val="5B3C3D40"/>
    <w:rsid w:val="5BE345E9"/>
    <w:rsid w:val="5C2B2D99"/>
    <w:rsid w:val="5CC845E4"/>
    <w:rsid w:val="5CE20D9E"/>
    <w:rsid w:val="5D8F6D1E"/>
    <w:rsid w:val="5D9A2CAA"/>
    <w:rsid w:val="5E1E072B"/>
    <w:rsid w:val="5FA14560"/>
    <w:rsid w:val="5FB3063D"/>
    <w:rsid w:val="5FBF6382"/>
    <w:rsid w:val="5FC4513D"/>
    <w:rsid w:val="5FCD7FD2"/>
    <w:rsid w:val="5FE84E0C"/>
    <w:rsid w:val="609723EF"/>
    <w:rsid w:val="61742C47"/>
    <w:rsid w:val="61E70C68"/>
    <w:rsid w:val="61F5156E"/>
    <w:rsid w:val="62C82D4C"/>
    <w:rsid w:val="631B6832"/>
    <w:rsid w:val="63F84A67"/>
    <w:rsid w:val="64632A18"/>
    <w:rsid w:val="64C257D8"/>
    <w:rsid w:val="64D217DE"/>
    <w:rsid w:val="655E2142"/>
    <w:rsid w:val="65D21249"/>
    <w:rsid w:val="65DD0843"/>
    <w:rsid w:val="66091638"/>
    <w:rsid w:val="66C676A3"/>
    <w:rsid w:val="66DA5E8F"/>
    <w:rsid w:val="672C61BD"/>
    <w:rsid w:val="6773716B"/>
    <w:rsid w:val="6802361A"/>
    <w:rsid w:val="68A92A37"/>
    <w:rsid w:val="68BA0FB7"/>
    <w:rsid w:val="68DE63D1"/>
    <w:rsid w:val="6962178B"/>
    <w:rsid w:val="6ACE2233"/>
    <w:rsid w:val="6B8F0831"/>
    <w:rsid w:val="6BBD714D"/>
    <w:rsid w:val="6BDA5090"/>
    <w:rsid w:val="6C5B636C"/>
    <w:rsid w:val="6CDF700E"/>
    <w:rsid w:val="6D061C55"/>
    <w:rsid w:val="6D87532F"/>
    <w:rsid w:val="6E1000D3"/>
    <w:rsid w:val="6E264F3A"/>
    <w:rsid w:val="6E7C013F"/>
    <w:rsid w:val="6E7D766A"/>
    <w:rsid w:val="6F7E7419"/>
    <w:rsid w:val="70BA6D90"/>
    <w:rsid w:val="70DA42FD"/>
    <w:rsid w:val="70DF5B33"/>
    <w:rsid w:val="711D729F"/>
    <w:rsid w:val="716B2939"/>
    <w:rsid w:val="71D1496D"/>
    <w:rsid w:val="72B7541C"/>
    <w:rsid w:val="73123091"/>
    <w:rsid w:val="73AA3A4F"/>
    <w:rsid w:val="73B7399C"/>
    <w:rsid w:val="74791404"/>
    <w:rsid w:val="749A5403"/>
    <w:rsid w:val="74AF784E"/>
    <w:rsid w:val="75CA7D5C"/>
    <w:rsid w:val="75F47B23"/>
    <w:rsid w:val="77F51A1C"/>
    <w:rsid w:val="781F28CB"/>
    <w:rsid w:val="783E33C3"/>
    <w:rsid w:val="78F63C9E"/>
    <w:rsid w:val="79343993"/>
    <w:rsid w:val="7A64688D"/>
    <w:rsid w:val="7B45165F"/>
    <w:rsid w:val="7C130658"/>
    <w:rsid w:val="7DC474A6"/>
    <w:rsid w:val="7DCB0F53"/>
    <w:rsid w:val="7E0150E9"/>
    <w:rsid w:val="7EBD6CA6"/>
    <w:rsid w:val="7F761D48"/>
    <w:rsid w:val="7F810133"/>
    <w:rsid w:val="7FBB6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spacing w:after="80"/>
    </w:pPr>
    <w:rPr>
      <w:rFonts w:ascii="宋体" w:hAnsi="宋体" w:eastAsia="宋体" w:cs="宋体"/>
      <w:sz w:val="22"/>
      <w:szCs w:val="22"/>
      <w:lang w:val="en-US" w:eastAsia="en-US" w:bidi="en-US"/>
    </w:rPr>
  </w:style>
  <w:style w:type="paragraph" w:styleId="3">
    <w:name w:val="heading 1"/>
    <w:basedOn w:val="1"/>
    <w:next w:val="1"/>
    <w:autoRedefine/>
    <w:qFormat/>
    <w:uiPriority w:val="1"/>
    <w:pPr>
      <w:spacing w:before="36"/>
      <w:ind w:right="558"/>
      <w:jc w:val="center"/>
      <w:outlineLvl w:val="0"/>
    </w:pPr>
    <w:rPr>
      <w:rFonts w:ascii="方正小标宋简体" w:hAnsi="方正小标宋简体" w:eastAsia="方正小标宋简体" w:cs="方正小标宋简体"/>
      <w:sz w:val="44"/>
      <w:szCs w:val="44"/>
    </w:rPr>
  </w:style>
  <w:style w:type="paragraph" w:styleId="4">
    <w:name w:val="heading 2"/>
    <w:basedOn w:val="1"/>
    <w:next w:val="1"/>
    <w:autoRedefine/>
    <w:qFormat/>
    <w:uiPriority w:val="1"/>
    <w:pPr>
      <w:spacing w:before="141"/>
      <w:ind w:left="1004" w:right="660" w:rightChars="300"/>
      <w:jc w:val="right"/>
      <w:outlineLvl w:val="1"/>
    </w:pPr>
    <w:rPr>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Title"/>
    <w:basedOn w:val="1"/>
    <w:qFormat/>
    <w:uiPriority w:val="0"/>
    <w:pPr>
      <w:spacing w:before="240" w:after="60"/>
      <w:jc w:val="center"/>
      <w:outlineLvl w:val="0"/>
    </w:pPr>
    <w:rPr>
      <w:rFonts w:ascii="Arial" w:hAnsi="Arial" w:cs="Arial"/>
      <w:b/>
      <w:bCs/>
      <w:sz w:val="32"/>
      <w:szCs w:val="32"/>
    </w:rPr>
  </w:style>
  <w:style w:type="paragraph" w:styleId="5">
    <w:name w:val="Body Text"/>
    <w:basedOn w:val="1"/>
    <w:autoRedefine/>
    <w:qFormat/>
    <w:uiPriority w:val="1"/>
    <w:rPr>
      <w:sz w:val="24"/>
      <w:szCs w:val="24"/>
    </w:rPr>
  </w:style>
  <w:style w:type="paragraph" w:styleId="6">
    <w:name w:val="Plain Text"/>
    <w:basedOn w:val="1"/>
    <w:autoRedefine/>
    <w:qFormat/>
    <w:uiPriority w:val="0"/>
    <w:rPr>
      <w:rFonts w:hint="eastAsia" w:hAnsi="Courier New"/>
      <w:szCs w:val="20"/>
    </w:rPr>
  </w:style>
  <w:style w:type="paragraph" w:styleId="7">
    <w:name w:val="Balloon Text"/>
    <w:basedOn w:val="1"/>
    <w:link w:val="17"/>
    <w:autoRedefine/>
    <w:qFormat/>
    <w:uiPriority w:val="0"/>
    <w:pPr>
      <w:spacing w:after="0"/>
    </w:pPr>
    <w:rPr>
      <w:sz w:val="18"/>
      <w:szCs w:val="18"/>
    </w:rPr>
  </w:style>
  <w:style w:type="paragraph" w:styleId="8">
    <w:name w:val="footer"/>
    <w:basedOn w:val="1"/>
    <w:autoRedefine/>
    <w:qFormat/>
    <w:uiPriority w:val="0"/>
    <w:pPr>
      <w:tabs>
        <w:tab w:val="center" w:pos="4153"/>
        <w:tab w:val="right" w:pos="8306"/>
      </w:tabs>
      <w:snapToGrid w:val="0"/>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0">
    <w:name w:val="Normal (Web)"/>
    <w:basedOn w:val="1"/>
    <w:autoRedefine/>
    <w:semiHidden/>
    <w:unhideWhenUsed/>
    <w:qFormat/>
    <w:uiPriority w:val="99"/>
    <w:rPr>
      <w:sz w:val="24"/>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4">
    <w:name w:val="List Paragraph"/>
    <w:basedOn w:val="1"/>
    <w:autoRedefine/>
    <w:qFormat/>
    <w:uiPriority w:val="1"/>
    <w:pPr>
      <w:spacing w:before="158"/>
      <w:ind w:left="220"/>
    </w:pPr>
  </w:style>
  <w:style w:type="table" w:customStyle="1" w:styleId="15">
    <w:name w:val="Table Normal"/>
    <w:autoRedefine/>
    <w:semiHidden/>
    <w:unhideWhenUsed/>
    <w:qFormat/>
    <w:uiPriority w:val="2"/>
    <w:tblPr>
      <w:tblCellMar>
        <w:top w:w="0" w:type="dxa"/>
        <w:left w:w="0" w:type="dxa"/>
        <w:bottom w:w="0" w:type="dxa"/>
        <w:right w:w="0" w:type="dxa"/>
      </w:tblCellMar>
    </w:tblPr>
  </w:style>
  <w:style w:type="paragraph" w:customStyle="1" w:styleId="16">
    <w:name w:val="Table Paragraph"/>
    <w:basedOn w:val="1"/>
    <w:autoRedefine/>
    <w:qFormat/>
    <w:uiPriority w:val="1"/>
  </w:style>
  <w:style w:type="character" w:customStyle="1" w:styleId="17">
    <w:name w:val="批注框文本 Char"/>
    <w:basedOn w:val="13"/>
    <w:link w:val="7"/>
    <w:autoRedefine/>
    <w:qFormat/>
    <w:uiPriority w:val="0"/>
    <w:rPr>
      <w:rFonts w:ascii="宋体" w:hAnsi="宋体" w:eastAsia="宋体" w:cs="宋体"/>
      <w:sz w:val="18"/>
      <w:szCs w:val="18"/>
      <w:lang w:eastAsia="en-US" w:bidi="en-US"/>
    </w:rPr>
  </w:style>
  <w:style w:type="paragraph" w:customStyle="1" w:styleId="18">
    <w:name w:val="Default"/>
    <w:autoRedefine/>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2.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wmf"/><Relationship Id="rId14" Type="http://schemas.openxmlformats.org/officeDocument/2006/relationships/oleObject" Target="embeddings/oleObject1.bin"/><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3079"/>
    <customShpInfo spid="_x0000_s3078"/>
    <customShpInfo spid="_x0000_s3077"/>
    <customShpInfo spid="_x0000_s3076"/>
    <customShpInfo spid="_x0000_s3075"/>
    <customShpInfo spid="_x0000_s3074"/>
    <customShpInfo spid="_x0000_s3073"/>
    <customShpInfo spid="_x0000_s1026"/>
    <customShpInfo spid="_x0000_s2056"/>
    <customShpInfo spid="_x0000_s2054"/>
    <customShpInfo spid="_x0000_s2053"/>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4071</Words>
  <Characters>5053</Characters>
  <Lines>45</Lines>
  <Paragraphs>12</Paragraphs>
  <TotalTime>0</TotalTime>
  <ScaleCrop>false</ScaleCrop>
  <LinksUpToDate>false</LinksUpToDate>
  <CharactersWithSpaces>5614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random</dc:creator>
  <cp:lastModifiedBy>依然Mr.沈</cp:lastModifiedBy>
  <cp:lastPrinted>2024-12-07T06:22:00Z</cp:lastPrinted>
  <dcterms:modified xsi:type="dcterms:W3CDTF">2024-12-24T07:44:18Z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87CB683D22954CA1A77A3A05C0511343_13</vt:lpwstr>
  </property>
</Properties>
</file>